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13B" w14:textId="1436BB33" w:rsidR="00427DB9" w:rsidRPr="001A77A4" w:rsidRDefault="00427DB9" w:rsidP="00427DB9">
      <w:pPr>
        <w:pStyle w:val="Default"/>
        <w:rPr>
          <w:rFonts w:ascii="Poppins" w:hAnsi="Poppins" w:cs="Poppins"/>
          <w:b/>
          <w:bCs/>
          <w:sz w:val="20"/>
          <w:szCs w:val="20"/>
        </w:rPr>
      </w:pPr>
      <w:r w:rsidRPr="001A77A4">
        <w:rPr>
          <w:rFonts w:ascii="Poppins" w:hAnsi="Poppins" w:cs="Poppins"/>
          <w:b/>
          <w:bCs/>
          <w:sz w:val="20"/>
          <w:szCs w:val="20"/>
        </w:rPr>
        <w:t>Purpose:</w:t>
      </w:r>
    </w:p>
    <w:p w14:paraId="512C3D4C" w14:textId="77777777" w:rsidR="00427DB9" w:rsidRPr="001B44B6" w:rsidRDefault="00427DB9" w:rsidP="00427DB9">
      <w:pPr>
        <w:pStyle w:val="Default"/>
        <w:rPr>
          <w:rFonts w:ascii="Poppins" w:hAnsi="Poppins" w:cs="Poppins"/>
          <w:sz w:val="20"/>
          <w:szCs w:val="20"/>
        </w:rPr>
      </w:pPr>
    </w:p>
    <w:p w14:paraId="293876C9" w14:textId="77777777" w:rsidR="00427DB9" w:rsidRDefault="00427DB9" w:rsidP="00427DB9">
      <w:pPr>
        <w:autoSpaceDE w:val="0"/>
        <w:autoSpaceDN w:val="0"/>
        <w:adjustRightInd w:val="0"/>
        <w:rPr>
          <w:rFonts w:ascii="Poppins" w:hAnsi="Poppins" w:cs="Poppins"/>
          <w:sz w:val="20"/>
          <w:szCs w:val="20"/>
        </w:rPr>
      </w:pPr>
      <w:r>
        <w:rPr>
          <w:rFonts w:ascii="Poppins" w:hAnsi="Poppins" w:cs="Poppins"/>
          <w:color w:val="000000"/>
          <w:sz w:val="20"/>
          <w:szCs w:val="20"/>
        </w:rPr>
        <w:t>In compliance with the</w:t>
      </w:r>
      <w:r w:rsidRPr="003050CB">
        <w:rPr>
          <w:rFonts w:ascii="Poppins" w:hAnsi="Poppins" w:cs="Poppins"/>
          <w:color w:val="000000"/>
          <w:sz w:val="20"/>
          <w:szCs w:val="20"/>
        </w:rPr>
        <w:t xml:space="preserve"> Office of Management and Budget Uniform Administrative Requirements, Cost Principles, and Audit Requirements for Federal Awards, 2 CFR 200, (Uniform Guidance)</w:t>
      </w:r>
      <w:r>
        <w:rPr>
          <w:rFonts w:ascii="Poppins" w:hAnsi="Poppins" w:cs="Poppins"/>
          <w:color w:val="000000"/>
          <w:sz w:val="20"/>
          <w:szCs w:val="20"/>
        </w:rPr>
        <w:t xml:space="preserve"> and the Cost Accounting Standards, the</w:t>
      </w:r>
      <w:r w:rsidRPr="001B44B6">
        <w:rPr>
          <w:rFonts w:ascii="Poppins" w:hAnsi="Poppins" w:cs="Poppins"/>
          <w:sz w:val="20"/>
          <w:szCs w:val="20"/>
        </w:rPr>
        <w:t xml:space="preserve"> University of North Texas has established the following guidance for the allocation of </w:t>
      </w:r>
      <w:r>
        <w:rPr>
          <w:rFonts w:ascii="Poppins" w:hAnsi="Poppins" w:cs="Poppins"/>
          <w:sz w:val="20"/>
          <w:szCs w:val="20"/>
        </w:rPr>
        <w:t xml:space="preserve">goods or services </w:t>
      </w:r>
      <w:r w:rsidRPr="001B44B6">
        <w:rPr>
          <w:rFonts w:ascii="Poppins" w:hAnsi="Poppins" w:cs="Poppins"/>
          <w:sz w:val="20"/>
          <w:szCs w:val="20"/>
        </w:rPr>
        <w:t>that benefit two or more projects or activities</w:t>
      </w:r>
      <w:r>
        <w:rPr>
          <w:rFonts w:ascii="Poppins" w:hAnsi="Poppins" w:cs="Poppins"/>
          <w:sz w:val="20"/>
          <w:szCs w:val="20"/>
        </w:rPr>
        <w:t>.</w:t>
      </w:r>
      <w:r w:rsidRPr="001B44B6">
        <w:rPr>
          <w:rFonts w:ascii="Poppins" w:hAnsi="Poppins" w:cs="Poppins"/>
          <w:sz w:val="20"/>
          <w:szCs w:val="20"/>
        </w:rPr>
        <w:t xml:space="preserve"> </w:t>
      </w:r>
    </w:p>
    <w:p w14:paraId="7631BF41" w14:textId="77777777" w:rsidR="00427DB9" w:rsidRDefault="00427DB9" w:rsidP="00427DB9">
      <w:pPr>
        <w:autoSpaceDE w:val="0"/>
        <w:autoSpaceDN w:val="0"/>
        <w:adjustRightInd w:val="0"/>
        <w:rPr>
          <w:rFonts w:ascii="Poppins" w:hAnsi="Poppins" w:cs="Poppins"/>
          <w:sz w:val="20"/>
          <w:szCs w:val="20"/>
        </w:rPr>
      </w:pPr>
    </w:p>
    <w:p w14:paraId="6D831054" w14:textId="5FD6D0D2" w:rsidR="00427DB9" w:rsidRDefault="00427DB9" w:rsidP="00427DB9">
      <w:pPr>
        <w:autoSpaceDE w:val="0"/>
        <w:autoSpaceDN w:val="0"/>
        <w:adjustRightInd w:val="0"/>
        <w:rPr>
          <w:rFonts w:ascii="Poppins" w:hAnsi="Poppins" w:cs="Poppins"/>
          <w:b/>
          <w:bCs/>
          <w:sz w:val="20"/>
          <w:szCs w:val="20"/>
        </w:rPr>
      </w:pPr>
      <w:r w:rsidRPr="001A77A4">
        <w:rPr>
          <w:rFonts w:ascii="Poppins" w:hAnsi="Poppins" w:cs="Poppins"/>
          <w:b/>
          <w:bCs/>
          <w:sz w:val="20"/>
          <w:szCs w:val="20"/>
        </w:rPr>
        <w:t>Background:</w:t>
      </w:r>
      <w:r w:rsidR="00CD242B">
        <w:rPr>
          <w:rFonts w:ascii="Poppins" w:hAnsi="Poppins" w:cs="Poppins"/>
          <w:b/>
          <w:bCs/>
          <w:sz w:val="20"/>
          <w:szCs w:val="20"/>
        </w:rPr>
        <w:t xml:space="preserve"> </w:t>
      </w:r>
    </w:p>
    <w:p w14:paraId="16DE4EA9" w14:textId="77777777" w:rsidR="00CD242B" w:rsidRDefault="00CD242B" w:rsidP="00427DB9">
      <w:pPr>
        <w:autoSpaceDE w:val="0"/>
        <w:autoSpaceDN w:val="0"/>
        <w:adjustRightInd w:val="0"/>
        <w:rPr>
          <w:rFonts w:ascii="Poppins" w:hAnsi="Poppins" w:cs="Poppins"/>
          <w:b/>
          <w:bCs/>
          <w:sz w:val="20"/>
          <w:szCs w:val="20"/>
        </w:rPr>
      </w:pPr>
    </w:p>
    <w:p w14:paraId="660BC5C3" w14:textId="576A02D2" w:rsidR="00CD242B" w:rsidRPr="00CD242B" w:rsidRDefault="00CD242B" w:rsidP="00427DB9">
      <w:pPr>
        <w:autoSpaceDE w:val="0"/>
        <w:autoSpaceDN w:val="0"/>
        <w:adjustRightInd w:val="0"/>
        <w:rPr>
          <w:rFonts w:ascii="Poppins" w:hAnsi="Poppins" w:cs="Poppins"/>
          <w:sz w:val="20"/>
          <w:szCs w:val="20"/>
        </w:rPr>
      </w:pPr>
      <w:r>
        <w:rPr>
          <w:rFonts w:ascii="Poppins" w:hAnsi="Poppins" w:cs="Poppins"/>
          <w:sz w:val="20"/>
          <w:szCs w:val="20"/>
        </w:rPr>
        <w:t xml:space="preserve">The federal government expects universities to charge their </w:t>
      </w:r>
      <w:r w:rsidR="00610E80">
        <w:rPr>
          <w:rFonts w:ascii="Poppins" w:hAnsi="Poppins" w:cs="Poppins"/>
          <w:sz w:val="20"/>
          <w:szCs w:val="20"/>
        </w:rPr>
        <w:t xml:space="preserve">federal </w:t>
      </w:r>
      <w:r>
        <w:rPr>
          <w:rFonts w:ascii="Poppins" w:hAnsi="Poppins" w:cs="Poppins"/>
          <w:sz w:val="20"/>
          <w:szCs w:val="20"/>
        </w:rPr>
        <w:t xml:space="preserve">grants and contracts using </w:t>
      </w:r>
      <w:r w:rsidR="00DB3743">
        <w:rPr>
          <w:rFonts w:ascii="Poppins" w:hAnsi="Poppins" w:cs="Poppins"/>
          <w:sz w:val="20"/>
          <w:szCs w:val="20"/>
        </w:rPr>
        <w:t xml:space="preserve">accepted </w:t>
      </w:r>
      <w:r>
        <w:rPr>
          <w:rFonts w:ascii="Poppins" w:hAnsi="Poppins" w:cs="Poppins"/>
          <w:sz w:val="20"/>
          <w:szCs w:val="20"/>
        </w:rPr>
        <w:t xml:space="preserve">cost principles.  A cost </w:t>
      </w:r>
      <w:r w:rsidR="00DB3743">
        <w:rPr>
          <w:rFonts w:ascii="Poppins" w:hAnsi="Poppins" w:cs="Poppins"/>
          <w:sz w:val="20"/>
          <w:szCs w:val="20"/>
        </w:rPr>
        <w:t xml:space="preserve">charged to a project </w:t>
      </w:r>
      <w:r>
        <w:rPr>
          <w:rFonts w:ascii="Poppins" w:hAnsi="Poppins" w:cs="Poppins"/>
          <w:sz w:val="20"/>
          <w:szCs w:val="20"/>
        </w:rPr>
        <w:t xml:space="preserve">should be reasonable, allowable, and </w:t>
      </w:r>
      <w:r w:rsidRPr="00610E80">
        <w:rPr>
          <w:rFonts w:ascii="Poppins" w:hAnsi="Poppins" w:cs="Poppins"/>
          <w:b/>
          <w:bCs/>
          <w:sz w:val="20"/>
          <w:szCs w:val="20"/>
        </w:rPr>
        <w:t>allocable.</w:t>
      </w:r>
    </w:p>
    <w:p w14:paraId="58166020" w14:textId="77777777" w:rsidR="00427DB9" w:rsidRDefault="00427DB9" w:rsidP="00427DB9">
      <w:pPr>
        <w:autoSpaceDE w:val="0"/>
        <w:autoSpaceDN w:val="0"/>
        <w:adjustRightInd w:val="0"/>
        <w:rPr>
          <w:rFonts w:ascii="Poppins" w:hAnsi="Poppins" w:cs="Poppins"/>
          <w:sz w:val="20"/>
          <w:szCs w:val="20"/>
        </w:rPr>
      </w:pPr>
    </w:p>
    <w:p w14:paraId="6D727DF8" w14:textId="77777777" w:rsidR="00427DB9" w:rsidRPr="00783E9F" w:rsidRDefault="00427DB9" w:rsidP="00427DB9">
      <w:pPr>
        <w:autoSpaceDE w:val="0"/>
        <w:autoSpaceDN w:val="0"/>
        <w:adjustRightInd w:val="0"/>
        <w:rPr>
          <w:rFonts w:ascii="Poppins" w:hAnsi="Poppins" w:cs="Poppins"/>
          <w:b/>
          <w:bCs/>
          <w:color w:val="000000"/>
          <w:sz w:val="20"/>
          <w:szCs w:val="20"/>
        </w:rPr>
      </w:pPr>
      <w:r w:rsidRPr="00783E9F">
        <w:rPr>
          <w:rFonts w:ascii="Poppins" w:hAnsi="Poppins" w:cs="Poppins"/>
          <w:b/>
          <w:bCs/>
          <w:color w:val="000000"/>
          <w:sz w:val="20"/>
          <w:szCs w:val="20"/>
        </w:rPr>
        <w:t>Cost benefiting one project or activity:</w:t>
      </w:r>
    </w:p>
    <w:p w14:paraId="5C5784D5" w14:textId="77777777" w:rsidR="00427DB9" w:rsidRDefault="00427DB9" w:rsidP="00427DB9">
      <w:pPr>
        <w:autoSpaceDE w:val="0"/>
        <w:autoSpaceDN w:val="0"/>
        <w:adjustRightInd w:val="0"/>
        <w:rPr>
          <w:rFonts w:ascii="Poppins" w:hAnsi="Poppins" w:cs="Poppins"/>
          <w:color w:val="000000"/>
          <w:sz w:val="20"/>
          <w:szCs w:val="20"/>
        </w:rPr>
      </w:pPr>
    </w:p>
    <w:p w14:paraId="248FD565" w14:textId="5BE2D427" w:rsidR="00427DB9" w:rsidRDefault="00427DB9" w:rsidP="00427DB9">
      <w:pPr>
        <w:autoSpaceDE w:val="0"/>
        <w:autoSpaceDN w:val="0"/>
        <w:adjustRightInd w:val="0"/>
        <w:rPr>
          <w:rFonts w:ascii="Poppins" w:hAnsi="Poppins" w:cs="Poppins"/>
          <w:color w:val="000000"/>
          <w:sz w:val="20"/>
          <w:szCs w:val="20"/>
        </w:rPr>
      </w:pPr>
      <w:r>
        <w:rPr>
          <w:rFonts w:ascii="Poppins" w:hAnsi="Poppins" w:cs="Poppins"/>
          <w:color w:val="000000"/>
          <w:sz w:val="20"/>
          <w:szCs w:val="20"/>
        </w:rPr>
        <w:t xml:space="preserve">If </w:t>
      </w:r>
      <w:r w:rsidRPr="003050CB">
        <w:rPr>
          <w:rFonts w:ascii="Poppins" w:hAnsi="Poppins" w:cs="Poppins"/>
          <w:color w:val="000000"/>
          <w:sz w:val="20"/>
          <w:szCs w:val="20"/>
        </w:rPr>
        <w:t xml:space="preserve">a </w:t>
      </w:r>
      <w:r>
        <w:rPr>
          <w:rFonts w:ascii="Poppins" w:hAnsi="Poppins" w:cs="Poppins"/>
          <w:color w:val="000000"/>
          <w:sz w:val="20"/>
          <w:szCs w:val="20"/>
        </w:rPr>
        <w:t>cost</w:t>
      </w:r>
      <w:r w:rsidRPr="00783E9F">
        <w:rPr>
          <w:rFonts w:ascii="Poppins" w:hAnsi="Poppins" w:cs="Poppins"/>
          <w:color w:val="000000"/>
          <w:sz w:val="20"/>
          <w:szCs w:val="20"/>
        </w:rPr>
        <w:t xml:space="preserve"> benefits a single project, the g</w:t>
      </w:r>
      <w:r>
        <w:rPr>
          <w:rFonts w:ascii="Poppins" w:hAnsi="Poppins" w:cs="Poppins"/>
          <w:color w:val="000000"/>
          <w:sz w:val="20"/>
          <w:szCs w:val="20"/>
        </w:rPr>
        <w:t xml:space="preserve">oods or services </w:t>
      </w:r>
      <w:r w:rsidRPr="003050CB">
        <w:rPr>
          <w:rFonts w:ascii="Poppins" w:hAnsi="Poppins" w:cs="Poppins"/>
          <w:color w:val="000000"/>
          <w:sz w:val="20"/>
          <w:szCs w:val="20"/>
        </w:rPr>
        <w:t xml:space="preserve">should be allocated </w:t>
      </w:r>
      <w:r>
        <w:rPr>
          <w:rFonts w:ascii="Poppins" w:hAnsi="Poppins" w:cs="Poppins"/>
          <w:color w:val="000000"/>
          <w:sz w:val="20"/>
          <w:szCs w:val="20"/>
        </w:rPr>
        <w:t xml:space="preserve">to </w:t>
      </w:r>
      <w:r w:rsidRPr="003050CB">
        <w:rPr>
          <w:rFonts w:ascii="Poppins" w:hAnsi="Poppins" w:cs="Poppins"/>
          <w:color w:val="000000"/>
          <w:sz w:val="20"/>
          <w:szCs w:val="20"/>
        </w:rPr>
        <w:t xml:space="preserve">and directly charged </w:t>
      </w:r>
      <w:r w:rsidR="00525A3C">
        <w:rPr>
          <w:rFonts w:ascii="Poppins" w:hAnsi="Poppins" w:cs="Poppins"/>
          <w:color w:val="000000"/>
          <w:sz w:val="20"/>
          <w:szCs w:val="20"/>
        </w:rPr>
        <w:t xml:space="preserve">solely </w:t>
      </w:r>
      <w:r w:rsidRPr="003050CB">
        <w:rPr>
          <w:rFonts w:ascii="Poppins" w:hAnsi="Poppins" w:cs="Poppins"/>
          <w:color w:val="000000"/>
          <w:sz w:val="20"/>
          <w:szCs w:val="20"/>
        </w:rPr>
        <w:t xml:space="preserve">to that </w:t>
      </w:r>
      <w:r>
        <w:rPr>
          <w:rFonts w:ascii="Poppins" w:hAnsi="Poppins" w:cs="Poppins"/>
          <w:color w:val="000000"/>
          <w:sz w:val="20"/>
          <w:szCs w:val="20"/>
        </w:rPr>
        <w:t xml:space="preserve">one </w:t>
      </w:r>
      <w:r w:rsidRPr="003050CB">
        <w:rPr>
          <w:rFonts w:ascii="Poppins" w:hAnsi="Poppins" w:cs="Poppins"/>
          <w:color w:val="000000"/>
          <w:sz w:val="20"/>
          <w:szCs w:val="20"/>
        </w:rPr>
        <w:t>project</w:t>
      </w:r>
      <w:r>
        <w:rPr>
          <w:rFonts w:ascii="Poppins" w:hAnsi="Poppins" w:cs="Poppins"/>
          <w:color w:val="000000"/>
          <w:sz w:val="20"/>
          <w:szCs w:val="20"/>
        </w:rPr>
        <w:t xml:space="preserve"> or activity</w:t>
      </w:r>
      <w:r w:rsidRPr="003050CB">
        <w:rPr>
          <w:rFonts w:ascii="Poppins" w:hAnsi="Poppins" w:cs="Poppins"/>
          <w:color w:val="000000"/>
          <w:sz w:val="20"/>
          <w:szCs w:val="20"/>
        </w:rPr>
        <w:t xml:space="preserve">. </w:t>
      </w:r>
    </w:p>
    <w:p w14:paraId="3CFA3A64" w14:textId="77777777" w:rsidR="00427DB9" w:rsidRDefault="00427DB9" w:rsidP="00427DB9">
      <w:pPr>
        <w:autoSpaceDE w:val="0"/>
        <w:autoSpaceDN w:val="0"/>
        <w:adjustRightInd w:val="0"/>
        <w:rPr>
          <w:rFonts w:ascii="Poppins" w:hAnsi="Poppins" w:cs="Poppins"/>
          <w:color w:val="000000"/>
          <w:sz w:val="20"/>
          <w:szCs w:val="20"/>
        </w:rPr>
      </w:pPr>
    </w:p>
    <w:p w14:paraId="669ED8BB" w14:textId="77777777" w:rsidR="00427DB9" w:rsidRPr="00783E9F" w:rsidRDefault="00427DB9" w:rsidP="00427DB9">
      <w:pPr>
        <w:autoSpaceDE w:val="0"/>
        <w:autoSpaceDN w:val="0"/>
        <w:adjustRightInd w:val="0"/>
        <w:rPr>
          <w:rFonts w:ascii="Poppins" w:hAnsi="Poppins" w:cs="Poppins"/>
          <w:b/>
          <w:bCs/>
          <w:color w:val="000000"/>
          <w:sz w:val="20"/>
          <w:szCs w:val="20"/>
        </w:rPr>
      </w:pPr>
      <w:r w:rsidRPr="00783E9F">
        <w:rPr>
          <w:rFonts w:ascii="Poppins" w:hAnsi="Poppins" w:cs="Poppins"/>
          <w:b/>
          <w:bCs/>
          <w:color w:val="000000"/>
          <w:sz w:val="20"/>
          <w:szCs w:val="20"/>
        </w:rPr>
        <w:t>Cost benefiting more than one project or activity:</w:t>
      </w:r>
    </w:p>
    <w:p w14:paraId="76ED65EE" w14:textId="77777777" w:rsidR="00427DB9" w:rsidRDefault="00427DB9" w:rsidP="00427DB9">
      <w:pPr>
        <w:autoSpaceDE w:val="0"/>
        <w:autoSpaceDN w:val="0"/>
        <w:adjustRightInd w:val="0"/>
        <w:rPr>
          <w:rFonts w:ascii="Poppins" w:hAnsi="Poppins" w:cs="Poppins"/>
          <w:color w:val="000000"/>
          <w:sz w:val="20"/>
          <w:szCs w:val="20"/>
        </w:rPr>
      </w:pPr>
    </w:p>
    <w:p w14:paraId="0C6C602A" w14:textId="77777777" w:rsidR="00427DB9" w:rsidRDefault="00427DB9" w:rsidP="00427DB9">
      <w:pPr>
        <w:autoSpaceDE w:val="0"/>
        <w:autoSpaceDN w:val="0"/>
        <w:adjustRightInd w:val="0"/>
        <w:rPr>
          <w:rFonts w:ascii="Poppins" w:hAnsi="Poppins" w:cs="Poppins"/>
          <w:sz w:val="20"/>
          <w:szCs w:val="20"/>
        </w:rPr>
      </w:pPr>
      <w:r>
        <w:rPr>
          <w:rFonts w:ascii="Poppins" w:hAnsi="Poppins" w:cs="Poppins"/>
          <w:color w:val="000000"/>
          <w:sz w:val="20"/>
          <w:szCs w:val="20"/>
        </w:rPr>
        <w:t xml:space="preserve"> </w:t>
      </w:r>
      <w:r w:rsidRPr="001B44B6">
        <w:rPr>
          <w:rFonts w:ascii="Poppins" w:hAnsi="Poppins" w:cs="Poppins"/>
          <w:sz w:val="20"/>
          <w:szCs w:val="20"/>
        </w:rPr>
        <w:t xml:space="preserve">Allocations </w:t>
      </w:r>
      <w:r>
        <w:rPr>
          <w:rFonts w:ascii="Poppins" w:hAnsi="Poppins" w:cs="Poppins"/>
          <w:sz w:val="20"/>
          <w:szCs w:val="20"/>
        </w:rPr>
        <w:t xml:space="preserve">to two or more projects or activities </w:t>
      </w:r>
      <w:r w:rsidRPr="001B44B6">
        <w:rPr>
          <w:rFonts w:ascii="Poppins" w:hAnsi="Poppins" w:cs="Poppins"/>
          <w:sz w:val="20"/>
          <w:szCs w:val="20"/>
        </w:rPr>
        <w:t xml:space="preserve">are often necessary when Principal Investigators and administrators are assigning </w:t>
      </w:r>
      <w:r>
        <w:rPr>
          <w:rFonts w:ascii="Poppins" w:hAnsi="Poppins" w:cs="Poppins"/>
          <w:sz w:val="20"/>
          <w:szCs w:val="20"/>
        </w:rPr>
        <w:t xml:space="preserve">costs </w:t>
      </w:r>
      <w:r w:rsidRPr="001B44B6">
        <w:rPr>
          <w:rFonts w:ascii="Poppins" w:hAnsi="Poppins" w:cs="Poppins"/>
          <w:sz w:val="20"/>
          <w:szCs w:val="20"/>
        </w:rPr>
        <w:t xml:space="preserve">to sponsored projects </w:t>
      </w:r>
      <w:r>
        <w:rPr>
          <w:rFonts w:ascii="Poppins" w:hAnsi="Poppins" w:cs="Poppins"/>
          <w:sz w:val="20"/>
          <w:szCs w:val="20"/>
        </w:rPr>
        <w:t xml:space="preserve">or </w:t>
      </w:r>
      <w:r w:rsidRPr="001B44B6">
        <w:rPr>
          <w:rFonts w:ascii="Poppins" w:hAnsi="Poppins" w:cs="Poppins"/>
          <w:sz w:val="20"/>
          <w:szCs w:val="20"/>
        </w:rPr>
        <w:t>o</w:t>
      </w:r>
      <w:r>
        <w:rPr>
          <w:rFonts w:ascii="Poppins" w:hAnsi="Poppins" w:cs="Poppins"/>
          <w:sz w:val="20"/>
          <w:szCs w:val="20"/>
        </w:rPr>
        <w:t xml:space="preserve">ther </w:t>
      </w:r>
      <w:r w:rsidRPr="001B44B6">
        <w:rPr>
          <w:rFonts w:ascii="Poppins" w:hAnsi="Poppins" w:cs="Poppins"/>
          <w:sz w:val="20"/>
          <w:szCs w:val="20"/>
        </w:rPr>
        <w:t xml:space="preserve">activities </w:t>
      </w:r>
      <w:r>
        <w:rPr>
          <w:rFonts w:ascii="Poppins" w:hAnsi="Poppins" w:cs="Poppins"/>
          <w:sz w:val="20"/>
          <w:szCs w:val="20"/>
        </w:rPr>
        <w:t xml:space="preserve">under their leadership in terms of the </w:t>
      </w:r>
      <w:r w:rsidRPr="001B44B6">
        <w:rPr>
          <w:rFonts w:ascii="Poppins" w:hAnsi="Poppins" w:cs="Poppins"/>
          <w:sz w:val="20"/>
          <w:szCs w:val="20"/>
        </w:rPr>
        <w:t>relative benefit</w:t>
      </w:r>
      <w:r>
        <w:rPr>
          <w:rFonts w:ascii="Poppins" w:hAnsi="Poppins" w:cs="Poppins"/>
          <w:sz w:val="20"/>
          <w:szCs w:val="20"/>
        </w:rPr>
        <w:t xml:space="preserve"> provided to each project or activity.  </w:t>
      </w:r>
    </w:p>
    <w:p w14:paraId="34B1D2BF" w14:textId="77777777" w:rsidR="00427DB9" w:rsidRDefault="00427DB9" w:rsidP="00427DB9">
      <w:pPr>
        <w:pStyle w:val="indent-2"/>
      </w:pPr>
      <w:r>
        <w:t>The costs can be distributed in proportions that may be approximated using reasonable methods.</w:t>
      </w:r>
    </w:p>
    <w:p w14:paraId="24EEB8AA" w14:textId="77777777" w:rsidR="00427DB9" w:rsidRPr="001A77A4" w:rsidRDefault="00427DB9" w:rsidP="00427DB9">
      <w:pPr>
        <w:pStyle w:val="indent-2"/>
        <w:rPr>
          <w:b/>
          <w:bCs/>
        </w:rPr>
      </w:pPr>
      <w:r w:rsidRPr="001A77A4">
        <w:rPr>
          <w:b/>
          <w:bCs/>
        </w:rPr>
        <w:t>Uniform Guidance provides two methods for allocating a cost to multiple funding sources:</w:t>
      </w:r>
    </w:p>
    <w:p w14:paraId="752F0BF9" w14:textId="77777777" w:rsidR="00427DB9" w:rsidRDefault="00427DB9" w:rsidP="00427DB9">
      <w:pPr>
        <w:pStyle w:val="indent-2"/>
      </w:pPr>
      <w:r>
        <w:t>•</w:t>
      </w:r>
      <w:r>
        <w:tab/>
      </w:r>
      <w:r w:rsidRPr="00B23FBA">
        <w:rPr>
          <w:b/>
          <w:bCs/>
        </w:rPr>
        <w:t>The Proportional Benefit Methodology</w:t>
      </w:r>
      <w:r>
        <w:t>: When the “</w:t>
      </w:r>
      <w:r w:rsidRPr="00E95AF1">
        <w:t>proportions that can be determined without undue effort or cost, the cost must be allocated to the projects based on the proportional benefit.</w:t>
      </w:r>
      <w:r>
        <w:t>”</w:t>
      </w:r>
      <w:r w:rsidRPr="00E95AF1">
        <w:t xml:space="preserve"> </w:t>
      </w:r>
    </w:p>
    <w:p w14:paraId="28EB54D5" w14:textId="77777777" w:rsidR="00427DB9" w:rsidRDefault="00427DB9" w:rsidP="00427DB9">
      <w:pPr>
        <w:pStyle w:val="indent-2"/>
        <w:ind w:left="720"/>
      </w:pPr>
      <w:r>
        <w:t>Example: A PI purchases 10 grams of gold to be used for two experiments. 3 grams are used on Award A and 7 grams on Award B.</w:t>
      </w:r>
    </w:p>
    <w:p w14:paraId="67222F24" w14:textId="77777777" w:rsidR="00427DB9" w:rsidRDefault="00427DB9" w:rsidP="00427DB9">
      <w:pPr>
        <w:pStyle w:val="indent-2"/>
        <w:ind w:firstLine="720"/>
      </w:pPr>
      <w:r>
        <w:t>30% (3/10) is charged to Award A</w:t>
      </w:r>
    </w:p>
    <w:p w14:paraId="25776806" w14:textId="77777777" w:rsidR="00427DB9" w:rsidRDefault="00427DB9" w:rsidP="00427DB9">
      <w:pPr>
        <w:pStyle w:val="indent-2"/>
        <w:ind w:firstLine="720"/>
      </w:pPr>
      <w:r>
        <w:t>70% (7/10) is charged to Award B.</w:t>
      </w:r>
    </w:p>
    <w:p w14:paraId="70DE6FE4" w14:textId="77777777" w:rsidR="00427DB9" w:rsidRDefault="00427DB9" w:rsidP="00427DB9">
      <w:pPr>
        <w:pStyle w:val="indent-2"/>
        <w:ind w:left="720"/>
      </w:pPr>
      <w:r w:rsidRPr="00B23FBA">
        <w:rPr>
          <w:b/>
          <w:bCs/>
        </w:rPr>
        <w:t>The Interrelationship Methodology:</w:t>
      </w:r>
      <w:r>
        <w:t xml:space="preserve"> If the proportion of the benefit cannot be easily determined “the costs may be allocated or transferred to benefitted projects on any reasonable documented basis.” </w:t>
      </w:r>
    </w:p>
    <w:p w14:paraId="20776322" w14:textId="7A99BF93" w:rsidR="00427DB9" w:rsidRDefault="00427DB9" w:rsidP="00427DB9">
      <w:pPr>
        <w:pStyle w:val="indent-2"/>
        <w:numPr>
          <w:ilvl w:val="0"/>
          <w:numId w:val="1"/>
        </w:numPr>
      </w:pPr>
      <w:r>
        <w:lastRenderedPageBreak/>
        <w:t xml:space="preserve">Example: A lab purchases </w:t>
      </w:r>
      <w:r w:rsidR="009B03D4">
        <w:t xml:space="preserve">many </w:t>
      </w:r>
      <w:r>
        <w:t xml:space="preserve">expendable </w:t>
      </w:r>
      <w:r w:rsidR="004C67B3">
        <w:t xml:space="preserve">items such as </w:t>
      </w:r>
      <w:r w:rsidR="002B3FBA">
        <w:t xml:space="preserve">lab grade </w:t>
      </w:r>
      <w:r>
        <w:t xml:space="preserve">chemicals, </w:t>
      </w:r>
      <w:r w:rsidR="004C67B3">
        <w:t xml:space="preserve">(i.e., </w:t>
      </w:r>
      <w:r w:rsidR="005A235E">
        <w:t xml:space="preserve">methanol, </w:t>
      </w:r>
      <w:proofErr w:type="gramStart"/>
      <w:r w:rsidR="00DF54D1">
        <w:t>g</w:t>
      </w:r>
      <w:r w:rsidR="005A235E">
        <w:t>lucose</w:t>
      </w:r>
      <w:proofErr w:type="gramEnd"/>
      <w:r w:rsidR="00DF54D1">
        <w:t xml:space="preserve"> and</w:t>
      </w:r>
      <w:r w:rsidR="005A235E">
        <w:t xml:space="preserve"> </w:t>
      </w:r>
      <w:r w:rsidR="009B03D4">
        <w:t>s</w:t>
      </w:r>
      <w:r w:rsidR="005A235E">
        <w:t>alt</w:t>
      </w:r>
      <w:r w:rsidR="004C67B3">
        <w:t>)</w:t>
      </w:r>
      <w:r w:rsidR="00DF54D1">
        <w:t>,</w:t>
      </w:r>
      <w:r w:rsidR="005A235E">
        <w:t xml:space="preserve"> tubing for equipment, razors and syringes </w:t>
      </w:r>
      <w:r>
        <w:t xml:space="preserve">which </w:t>
      </w:r>
      <w:r w:rsidR="005A235E">
        <w:t>are</w:t>
      </w:r>
      <w:r>
        <w:t xml:space="preserve"> used in the lab for many of the various activities in the lab.  It is impossible to determine when purchasing the</w:t>
      </w:r>
      <w:r w:rsidR="00DF54D1">
        <w:t>se items</w:t>
      </w:r>
      <w:r>
        <w:t xml:space="preserve"> exactly how many/much will be used for each Award, and it would not be cost effective to track the use of this one chemical. Instead, the lab allocates the cost of the</w:t>
      </w:r>
      <w:r w:rsidR="00367FDF">
        <w:t>se items bas</w:t>
      </w:r>
      <w:r>
        <w:t>ed on the amount of effort the lab personnel who uses the</w:t>
      </w:r>
      <w:r w:rsidR="00367FDF">
        <w:t>se items</w:t>
      </w:r>
      <w:r>
        <w:t xml:space="preserve"> expends on each Award.</w:t>
      </w:r>
    </w:p>
    <w:p w14:paraId="1F22D902" w14:textId="7A4FB070" w:rsidR="00427DB9" w:rsidRDefault="00427DB9" w:rsidP="00427DB9">
      <w:pPr>
        <w:pStyle w:val="indent-2"/>
        <w:ind w:left="720"/>
      </w:pPr>
      <w:r>
        <w:t>If the effort allocation of the individuals in the lab is 60/40 on Awards A and B, the cost of the</w:t>
      </w:r>
      <w:r w:rsidR="003E6D68">
        <w:t>se item</w:t>
      </w:r>
      <w:r>
        <w:t xml:space="preserve"> would also be allocated on a 60/40 percent basis.</w:t>
      </w:r>
    </w:p>
    <w:p w14:paraId="16EBEA69" w14:textId="77777777" w:rsidR="00427DB9" w:rsidRPr="00081DCF" w:rsidRDefault="00427DB9" w:rsidP="00427DB9">
      <w:pPr>
        <w:pStyle w:val="indent-2"/>
        <w:ind w:firstLine="720"/>
        <w:rPr>
          <w:b/>
          <w:bCs/>
        </w:rPr>
      </w:pPr>
      <w:r w:rsidRPr="00081DCF">
        <w:rPr>
          <w:b/>
          <w:bCs/>
        </w:rPr>
        <w:t xml:space="preserve">Costs may not be allocated based </w:t>
      </w:r>
      <w:r>
        <w:rPr>
          <w:b/>
          <w:bCs/>
        </w:rPr>
        <w:t>up</w:t>
      </w:r>
      <w:r w:rsidRPr="00081DCF">
        <w:rPr>
          <w:b/>
          <w:bCs/>
        </w:rPr>
        <w:t>on:</w:t>
      </w:r>
    </w:p>
    <w:p w14:paraId="738C78F6" w14:textId="77777777" w:rsidR="00427DB9" w:rsidRDefault="00427DB9" w:rsidP="00427DB9">
      <w:pPr>
        <w:pStyle w:val="indent-2"/>
        <w:ind w:left="360" w:hanging="360"/>
      </w:pPr>
      <w:r>
        <w:t>•</w:t>
      </w:r>
      <w:r>
        <w:tab/>
      </w:r>
      <w:r>
        <w:tab/>
        <w:t>Project Constraints:</w:t>
      </w:r>
    </w:p>
    <w:p w14:paraId="6F0965C2" w14:textId="77777777" w:rsidR="00427DB9" w:rsidRDefault="00427DB9" w:rsidP="00427DB9">
      <w:pPr>
        <w:pStyle w:val="indent-2"/>
        <w:numPr>
          <w:ilvl w:val="1"/>
          <w:numId w:val="1"/>
        </w:numPr>
      </w:pPr>
      <w:r>
        <w:t>Available funds on a specific award</w:t>
      </w:r>
    </w:p>
    <w:p w14:paraId="5691AEFF" w14:textId="769DE342" w:rsidR="00427DB9" w:rsidRDefault="00427DB9" w:rsidP="00427DB9">
      <w:pPr>
        <w:pStyle w:val="indent-2"/>
        <w:numPr>
          <w:ilvl w:val="1"/>
          <w:numId w:val="1"/>
        </w:numPr>
      </w:pPr>
      <w:r>
        <w:t xml:space="preserve">Addressing an award that is over or under </w:t>
      </w:r>
      <w:proofErr w:type="gramStart"/>
      <w:r>
        <w:t>budget</w:t>
      </w:r>
      <w:proofErr w:type="gramEnd"/>
    </w:p>
    <w:p w14:paraId="2DF35FA7" w14:textId="20056160" w:rsidR="00427DB9" w:rsidRDefault="00427DB9" w:rsidP="00427DB9">
      <w:pPr>
        <w:pStyle w:val="indent-2"/>
        <w:numPr>
          <w:ilvl w:val="1"/>
          <w:numId w:val="1"/>
        </w:numPr>
      </w:pPr>
      <w:r>
        <w:t xml:space="preserve">Utilizing funds on a project that will be ending </w:t>
      </w:r>
      <w:proofErr w:type="gramStart"/>
      <w:r>
        <w:t>s</w:t>
      </w:r>
      <w:r w:rsidR="002D52D9">
        <w:t>hortly</w:t>
      </w:r>
      <w:proofErr w:type="gramEnd"/>
      <w:r>
        <w:t xml:space="preserve"> </w:t>
      </w:r>
    </w:p>
    <w:p w14:paraId="6CA95C89" w14:textId="4E2FFCEF" w:rsidR="00427DB9" w:rsidRDefault="002D52D9" w:rsidP="00427DB9">
      <w:pPr>
        <w:pStyle w:val="indent-2"/>
        <w:numPr>
          <w:ilvl w:val="1"/>
          <w:numId w:val="1"/>
        </w:numPr>
      </w:pPr>
      <w:r>
        <w:t>C</w:t>
      </w:r>
      <w:r w:rsidR="00427DB9">
        <w:t>ircumvent</w:t>
      </w:r>
      <w:r>
        <w:t>ing</w:t>
      </w:r>
      <w:r w:rsidR="00427DB9">
        <w:t xml:space="preserve"> restrictions on an Award</w:t>
      </w:r>
    </w:p>
    <w:p w14:paraId="384FEFED" w14:textId="55FA1B8E" w:rsidR="00427DB9" w:rsidRDefault="00427DB9" w:rsidP="00427DB9">
      <w:pPr>
        <w:pStyle w:val="indent-2"/>
        <w:ind w:left="720" w:hanging="720"/>
      </w:pPr>
      <w:r>
        <w:t>•</w:t>
      </w:r>
      <w:r>
        <w:tab/>
        <w:t xml:space="preserve">Rotating charges between two awards or activities. </w:t>
      </w:r>
      <w:r w:rsidR="00212350">
        <w:t xml:space="preserve">Ex: </w:t>
      </w:r>
      <w:r>
        <w:t>Charging to award A this time and to award B next time.</w:t>
      </w:r>
    </w:p>
    <w:p w14:paraId="6DB4302F" w14:textId="1F8B4E18" w:rsidR="00427DB9" w:rsidRDefault="00427DB9" w:rsidP="00427DB9">
      <w:pPr>
        <w:pStyle w:val="indent-2"/>
        <w:ind w:left="720" w:hanging="720"/>
      </w:pPr>
      <w:r>
        <w:t>•</w:t>
      </w:r>
      <w:r>
        <w:tab/>
        <w:t xml:space="preserve">Exclusively charging to sponsored projects when the expense </w:t>
      </w:r>
      <w:r w:rsidR="00144767">
        <w:t xml:space="preserve">benefits other </w:t>
      </w:r>
      <w:r>
        <w:t>activities</w:t>
      </w:r>
      <w:r w:rsidR="00307412">
        <w:t>.</w:t>
      </w:r>
    </w:p>
    <w:p w14:paraId="34A97A27" w14:textId="77777777" w:rsidR="00427DB9" w:rsidRPr="001A77A4" w:rsidRDefault="00427DB9" w:rsidP="00427DB9">
      <w:pPr>
        <w:pStyle w:val="indent-2"/>
        <w:rPr>
          <w:b/>
          <w:bCs/>
        </w:rPr>
      </w:pPr>
      <w:r w:rsidRPr="001A77A4">
        <w:rPr>
          <w:b/>
          <w:bCs/>
        </w:rPr>
        <w:t>Allocation Best Practices</w:t>
      </w:r>
    </w:p>
    <w:p w14:paraId="64C00667" w14:textId="77777777" w:rsidR="00427DB9" w:rsidRDefault="00427DB9" w:rsidP="00427DB9">
      <w:pPr>
        <w:pStyle w:val="indent-2"/>
        <w:ind w:left="720" w:hanging="720"/>
      </w:pPr>
      <w:r>
        <w:t>•</w:t>
      </w:r>
      <w:r>
        <w:tab/>
        <w:t>Where there is an interrelationship between the two projects or activities, one should document the allocation methodology with an explanation of how the allocation methodology is reasonably related to the costs being allocated</w:t>
      </w:r>
    </w:p>
    <w:p w14:paraId="35C28E43" w14:textId="06C69386" w:rsidR="00427DB9" w:rsidRDefault="00427DB9" w:rsidP="00427DB9">
      <w:pPr>
        <w:pStyle w:val="indent-2"/>
        <w:ind w:left="720" w:hanging="720"/>
      </w:pPr>
      <w:r>
        <w:t>•</w:t>
      </w:r>
      <w:r>
        <w:tab/>
        <w:t>The allocation should be developed in advance of the purchase with the input and approval of the Principal Investigator (PI) of the projects to which the costs are allocated.</w:t>
      </w:r>
    </w:p>
    <w:p w14:paraId="03D868F3" w14:textId="3310DCDA" w:rsidR="00427DB9" w:rsidRDefault="00427DB9" w:rsidP="00427DB9">
      <w:pPr>
        <w:pStyle w:val="indent-2"/>
        <w:ind w:left="720" w:hanging="720"/>
      </w:pPr>
      <w:r>
        <w:t>•</w:t>
      </w:r>
      <w:r>
        <w:tab/>
        <w:t>When it is not possible to allocate costs to the benefiting sponsored projects at the time when the goods or services are purchased, costs must be recorded in a non-sponsored account.</w:t>
      </w:r>
    </w:p>
    <w:p w14:paraId="6776399A" w14:textId="38C6E32A" w:rsidR="00D95BD5" w:rsidRDefault="00427DB9" w:rsidP="00427DB9">
      <w:pPr>
        <w:pStyle w:val="indent-2"/>
        <w:ind w:left="720" w:hanging="720"/>
      </w:pPr>
      <w:r>
        <w:t>•</w:t>
      </w:r>
      <w:r>
        <w:tab/>
      </w:r>
      <w:r w:rsidRPr="00427DB9">
        <w:t xml:space="preserve">The PI working with the </w:t>
      </w:r>
      <w:r w:rsidR="0073386D">
        <w:t>r</w:t>
      </w:r>
      <w:r w:rsidRPr="00427DB9">
        <w:t xml:space="preserve">esearch </w:t>
      </w:r>
      <w:r w:rsidR="0073386D">
        <w:t>a</w:t>
      </w:r>
      <w:r w:rsidRPr="00427DB9">
        <w:t xml:space="preserve">dministrators should on a regular basis review the allocation methodology they have developed to ensure that the allocation of costs is reasonable. </w:t>
      </w:r>
    </w:p>
    <w:sectPr w:rsidR="00D95B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B716" w14:textId="77777777" w:rsidR="00577FA7" w:rsidRDefault="00577FA7" w:rsidP="00CA64C6">
      <w:r>
        <w:separator/>
      </w:r>
    </w:p>
  </w:endnote>
  <w:endnote w:type="continuationSeparator" w:id="0">
    <w:p w14:paraId="38739B97" w14:textId="77777777" w:rsidR="00577FA7" w:rsidRDefault="00577FA7" w:rsidP="00CA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D36E" w14:textId="77777777" w:rsidR="00577FA7" w:rsidRDefault="00577FA7" w:rsidP="00CA64C6">
      <w:r>
        <w:separator/>
      </w:r>
    </w:p>
  </w:footnote>
  <w:footnote w:type="continuationSeparator" w:id="0">
    <w:p w14:paraId="2FDD717E" w14:textId="77777777" w:rsidR="00577FA7" w:rsidRDefault="00577FA7" w:rsidP="00CA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9F46" w14:textId="27824AB0" w:rsidR="00CA64C6" w:rsidRPr="007609B2" w:rsidRDefault="00CA64C6">
    <w:pPr>
      <w:pStyle w:val="Header"/>
      <w:rPr>
        <w:sz w:val="32"/>
        <w:szCs w:val="32"/>
      </w:rPr>
    </w:pPr>
    <w:r w:rsidRPr="007609B2">
      <w:rPr>
        <w:sz w:val="32"/>
        <w:szCs w:val="32"/>
      </w:rPr>
      <w:tab/>
      <w:t>The University of North Texas</w:t>
    </w:r>
  </w:p>
  <w:p w14:paraId="320BA9CD" w14:textId="6721DE8F" w:rsidR="00CA64C6" w:rsidRPr="007609B2" w:rsidRDefault="00CA64C6">
    <w:pPr>
      <w:pStyle w:val="Header"/>
      <w:rPr>
        <w:sz w:val="32"/>
        <w:szCs w:val="32"/>
      </w:rPr>
    </w:pPr>
    <w:r w:rsidRPr="007609B2">
      <w:rPr>
        <w:sz w:val="32"/>
        <w:szCs w:val="32"/>
      </w:rPr>
      <w:tab/>
      <w:t>Allocation of Cost Guidelines</w:t>
    </w:r>
  </w:p>
  <w:p w14:paraId="6E096158" w14:textId="77777777" w:rsidR="00CA64C6" w:rsidRDefault="00CA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2433"/>
    <w:multiLevelType w:val="hybridMultilevel"/>
    <w:tmpl w:val="7A1C25DE"/>
    <w:lvl w:ilvl="0" w:tplc="E23228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17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B9"/>
    <w:rsid w:val="00063991"/>
    <w:rsid w:val="00081D1F"/>
    <w:rsid w:val="000A3583"/>
    <w:rsid w:val="00144767"/>
    <w:rsid w:val="00212350"/>
    <w:rsid w:val="002B3FBA"/>
    <w:rsid w:val="002D52D9"/>
    <w:rsid w:val="00307412"/>
    <w:rsid w:val="00367FDF"/>
    <w:rsid w:val="003E2B0F"/>
    <w:rsid w:val="003E6D68"/>
    <w:rsid w:val="00427DB9"/>
    <w:rsid w:val="004C67B3"/>
    <w:rsid w:val="00525A3C"/>
    <w:rsid w:val="00577FA7"/>
    <w:rsid w:val="005A235E"/>
    <w:rsid w:val="00610E80"/>
    <w:rsid w:val="0073386D"/>
    <w:rsid w:val="00745CE1"/>
    <w:rsid w:val="007609B2"/>
    <w:rsid w:val="009270E9"/>
    <w:rsid w:val="009B03D4"/>
    <w:rsid w:val="00A76D3D"/>
    <w:rsid w:val="00B23FBA"/>
    <w:rsid w:val="00CA64C6"/>
    <w:rsid w:val="00CD242B"/>
    <w:rsid w:val="00CF72D8"/>
    <w:rsid w:val="00D95BD5"/>
    <w:rsid w:val="00DB3743"/>
    <w:rsid w:val="00DF54D1"/>
    <w:rsid w:val="00E76776"/>
    <w:rsid w:val="00E7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D7B9"/>
  <w15:chartTrackingRefBased/>
  <w15:docId w15:val="{4A53DD23-6E75-4987-89C3-F8F06067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DB9"/>
    <w:pPr>
      <w:autoSpaceDE w:val="0"/>
      <w:autoSpaceDN w:val="0"/>
      <w:adjustRightInd w:val="0"/>
      <w:spacing w:after="0" w:line="240" w:lineRule="auto"/>
    </w:pPr>
    <w:rPr>
      <w:rFonts w:ascii="Calibri" w:hAnsi="Calibri" w:cs="Calibri"/>
      <w:color w:val="000000"/>
      <w:kern w:val="0"/>
      <w:sz w:val="24"/>
      <w:szCs w:val="24"/>
    </w:rPr>
  </w:style>
  <w:style w:type="paragraph" w:customStyle="1" w:styleId="indent-2">
    <w:name w:val="indent-2"/>
    <w:basedOn w:val="Normal"/>
    <w:rsid w:val="00427DB9"/>
    <w:pPr>
      <w:spacing w:before="100" w:beforeAutospacing="1" w:after="100" w:afterAutospacing="1"/>
    </w:pPr>
    <w:rPr>
      <w:rFonts w:ascii="Times New Roman" w:eastAsia="Times New Roman" w:hAnsi="Times New Roman" w:cs="Times New Roman"/>
      <w:sz w:val="24"/>
      <w:szCs w:val="24"/>
      <w14:ligatures w14:val="none"/>
    </w:rPr>
  </w:style>
  <w:style w:type="paragraph" w:styleId="Header">
    <w:name w:val="header"/>
    <w:basedOn w:val="Normal"/>
    <w:link w:val="HeaderChar"/>
    <w:uiPriority w:val="99"/>
    <w:unhideWhenUsed/>
    <w:rsid w:val="00CA64C6"/>
    <w:pPr>
      <w:tabs>
        <w:tab w:val="center" w:pos="4680"/>
        <w:tab w:val="right" w:pos="9360"/>
      </w:tabs>
    </w:pPr>
  </w:style>
  <w:style w:type="character" w:customStyle="1" w:styleId="HeaderChar">
    <w:name w:val="Header Char"/>
    <w:basedOn w:val="DefaultParagraphFont"/>
    <w:link w:val="Header"/>
    <w:uiPriority w:val="99"/>
    <w:rsid w:val="00CA64C6"/>
    <w:rPr>
      <w:rFonts w:ascii="Calibri" w:hAnsi="Calibri" w:cs="Calibri"/>
      <w:kern w:val="0"/>
    </w:rPr>
  </w:style>
  <w:style w:type="paragraph" w:styleId="Footer">
    <w:name w:val="footer"/>
    <w:basedOn w:val="Normal"/>
    <w:link w:val="FooterChar"/>
    <w:uiPriority w:val="99"/>
    <w:unhideWhenUsed/>
    <w:rsid w:val="00CA64C6"/>
    <w:pPr>
      <w:tabs>
        <w:tab w:val="center" w:pos="4680"/>
        <w:tab w:val="right" w:pos="9360"/>
      </w:tabs>
    </w:pPr>
  </w:style>
  <w:style w:type="character" w:customStyle="1" w:styleId="FooterChar">
    <w:name w:val="Footer Char"/>
    <w:basedOn w:val="DefaultParagraphFont"/>
    <w:link w:val="Footer"/>
    <w:uiPriority w:val="99"/>
    <w:rsid w:val="00CA64C6"/>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61F9-5BC2-4392-99C7-B2C54F63A733}">
  <ds:schemaRefs>
    <ds:schemaRef ds:uri="http://schemas.openxmlformats.org/officeDocument/2006/bibliography"/>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University of North Texas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Tarantino, Charles</dc:creator>
  <cp:keywords/>
  <dc:description/>
  <cp:lastModifiedBy>Tarantino, Charles</cp:lastModifiedBy>
  <cp:revision>2</cp:revision>
  <dcterms:created xsi:type="dcterms:W3CDTF">2024-04-29T16:28:00Z</dcterms:created>
  <dcterms:modified xsi:type="dcterms:W3CDTF">2024-04-29T16:28:00Z</dcterms:modified>
</cp:coreProperties>
</file>