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EFFE" w14:textId="37A305A4" w:rsidR="00D94615" w:rsidRDefault="00A670D4">
      <w:pPr>
        <w:pStyle w:val="BodyText"/>
        <w:rPr>
          <w:rFonts w:ascii="Times New Roman"/>
          <w:sz w:val="20"/>
        </w:rPr>
      </w:pPr>
      <w:r>
        <w:rPr>
          <w:rFonts w:ascii="Times New Roman"/>
          <w:sz w:val="20"/>
        </w:rPr>
        <w:tab/>
      </w:r>
    </w:p>
    <w:p w14:paraId="259EEFFF" w14:textId="77777777" w:rsidR="00D94615" w:rsidRDefault="00D94615">
      <w:pPr>
        <w:pStyle w:val="BodyText"/>
        <w:rPr>
          <w:rFonts w:ascii="Times New Roman"/>
          <w:sz w:val="20"/>
        </w:rPr>
      </w:pPr>
    </w:p>
    <w:p w14:paraId="259EF000" w14:textId="77777777" w:rsidR="00D94615" w:rsidRDefault="00D94615">
      <w:pPr>
        <w:pStyle w:val="BodyText"/>
        <w:rPr>
          <w:rFonts w:ascii="Times New Roman"/>
          <w:sz w:val="20"/>
        </w:rPr>
      </w:pPr>
    </w:p>
    <w:p w14:paraId="259EF001" w14:textId="77777777" w:rsidR="00D94615" w:rsidRDefault="00D94615">
      <w:pPr>
        <w:pStyle w:val="BodyText"/>
        <w:rPr>
          <w:rFonts w:ascii="Times New Roman"/>
          <w:sz w:val="20"/>
        </w:rPr>
      </w:pPr>
    </w:p>
    <w:p w14:paraId="259EF002" w14:textId="77777777" w:rsidR="00D94615" w:rsidRDefault="00D94615">
      <w:pPr>
        <w:pStyle w:val="BodyText"/>
        <w:spacing w:before="1"/>
        <w:rPr>
          <w:rFonts w:ascii="Times New Roman"/>
          <w:sz w:val="17"/>
        </w:rPr>
      </w:pPr>
    </w:p>
    <w:p w14:paraId="259EF003" w14:textId="5D2CB292" w:rsidR="00D94615" w:rsidRDefault="00790A17">
      <w:pPr>
        <w:pStyle w:val="BodyText"/>
        <w:spacing w:before="55"/>
        <w:ind w:left="2808"/>
      </w:pPr>
      <w:r>
        <w:rPr>
          <w:noProof/>
        </w:rPr>
        <w:drawing>
          <wp:anchor distT="0" distB="0" distL="0" distR="0" simplePos="0" relativeHeight="251658240" behindDoc="0" locked="0" layoutInCell="1" allowOverlap="1" wp14:anchorId="259EF020" wp14:editId="259EF021">
            <wp:simplePos x="0" y="0"/>
            <wp:positionH relativeFrom="page">
              <wp:posOffset>685800</wp:posOffset>
            </wp:positionH>
            <wp:positionV relativeFrom="paragraph">
              <wp:posOffset>-709756</wp:posOffset>
            </wp:positionV>
            <wp:extent cx="1657350" cy="868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57350" cy="868045"/>
                    </a:xfrm>
                    <a:prstGeom prst="rect">
                      <a:avLst/>
                    </a:prstGeom>
                  </pic:spPr>
                </pic:pic>
              </a:graphicData>
            </a:graphic>
          </wp:anchor>
        </w:drawing>
      </w:r>
      <w:r>
        <w:rPr>
          <w:color w:val="385522"/>
        </w:rPr>
        <w:t xml:space="preserve">OFFICE OF THE VICE PRESIDENT FOR RESEARCH AND </w:t>
      </w:r>
      <w:r w:rsidR="003070BC">
        <w:rPr>
          <w:color w:val="385522"/>
        </w:rPr>
        <w:t>INNOVATION</w:t>
      </w:r>
    </w:p>
    <w:p w14:paraId="259EF004" w14:textId="77777777" w:rsidR="00D94615" w:rsidRDefault="00D94615">
      <w:pPr>
        <w:pStyle w:val="BodyText"/>
        <w:spacing w:before="2"/>
        <w:rPr>
          <w:sz w:val="21"/>
        </w:rPr>
      </w:pPr>
    </w:p>
    <w:p w14:paraId="259EF005" w14:textId="77777777" w:rsidR="00D94615" w:rsidRDefault="00790A17">
      <w:pPr>
        <w:spacing w:before="1"/>
        <w:ind w:left="100" w:firstLine="44"/>
        <w:jc w:val="both"/>
        <w:rPr>
          <w:b/>
          <w:sz w:val="24"/>
        </w:rPr>
      </w:pPr>
      <w:r>
        <w:rPr>
          <w:b/>
          <w:sz w:val="24"/>
        </w:rPr>
        <w:t>Guidelines for Charging Faculty Summer Salary to Sponsored Research and other Sponsored Projects</w:t>
      </w:r>
    </w:p>
    <w:p w14:paraId="259EF006" w14:textId="77777777" w:rsidR="00D94615" w:rsidRDefault="00D94615">
      <w:pPr>
        <w:pStyle w:val="BodyText"/>
        <w:rPr>
          <w:b/>
          <w:sz w:val="24"/>
        </w:rPr>
      </w:pPr>
    </w:p>
    <w:p w14:paraId="259EF007" w14:textId="77777777" w:rsidR="00D94615" w:rsidRDefault="00D94615">
      <w:pPr>
        <w:pStyle w:val="BodyText"/>
        <w:spacing w:before="11"/>
        <w:rPr>
          <w:b/>
        </w:rPr>
      </w:pPr>
    </w:p>
    <w:p w14:paraId="259EF008" w14:textId="48AF7D51" w:rsidR="00D94615" w:rsidRDefault="00790A17">
      <w:pPr>
        <w:pStyle w:val="BodyText"/>
        <w:spacing w:line="256" w:lineRule="auto"/>
        <w:ind w:left="100" w:right="164"/>
        <w:jc w:val="both"/>
      </w:pPr>
      <w:r>
        <w:t>The following guidelines are provided for faculty who, in addition to their nine‐month academic year base salary, choose to devote effort and receive compensation during the summer months on sponsored research or other sponsored projects:</w:t>
      </w:r>
    </w:p>
    <w:p w14:paraId="259EF009" w14:textId="77777777" w:rsidR="00D94615" w:rsidRDefault="00D94615">
      <w:pPr>
        <w:pStyle w:val="BodyText"/>
        <w:spacing w:before="8"/>
        <w:rPr>
          <w:sz w:val="21"/>
        </w:rPr>
      </w:pPr>
    </w:p>
    <w:p w14:paraId="08798CA4" w14:textId="14E04176" w:rsidR="0071003C" w:rsidRDefault="0071003C" w:rsidP="0071003C">
      <w:pPr>
        <w:pStyle w:val="ListParagraph"/>
        <w:numPr>
          <w:ilvl w:val="0"/>
          <w:numId w:val="1"/>
        </w:numPr>
        <w:tabs>
          <w:tab w:val="left" w:pos="870"/>
        </w:tabs>
        <w:spacing w:before="11"/>
        <w:ind w:right="218"/>
      </w:pPr>
      <w:r>
        <w:t>"Summer Salary" is compensation to faculty for effort performed beyond their period of 9-month appointment.  The basis for calculation of an individual faculty member's summer salary that can be charged to a sponsored project is the regular compensation received during the period of appointment.  As an example, for faculty on a 9-month (academic year) appointment, each month of summer compensation will be limited to and calculated at the rate of 1/9th of the salary for the academic year preceding the summer effort.</w:t>
      </w:r>
    </w:p>
    <w:p w14:paraId="7FA22663" w14:textId="2846EF28" w:rsidR="005F599A" w:rsidRDefault="005F599A" w:rsidP="005F599A">
      <w:pPr>
        <w:pStyle w:val="ListParagraph"/>
        <w:tabs>
          <w:tab w:val="left" w:pos="870"/>
        </w:tabs>
        <w:spacing w:before="11"/>
        <w:ind w:right="218" w:firstLine="0"/>
      </w:pPr>
    </w:p>
    <w:p w14:paraId="11B43693" w14:textId="77777777" w:rsidR="005F599A" w:rsidRPr="005F599A" w:rsidRDefault="005F599A" w:rsidP="005F599A">
      <w:pPr>
        <w:ind w:left="810"/>
        <w:rPr>
          <w:rFonts w:eastAsia="Times New Roman" w:cstheme="minorHAnsi"/>
        </w:rPr>
      </w:pPr>
      <w:r w:rsidRPr="005F599A">
        <w:rPr>
          <w:rFonts w:eastAsia="Times New Roman" w:cstheme="minorHAnsi"/>
        </w:rPr>
        <w:t>The summer effort reporting period should only include effort provided during the summer effort reporting period from June 1</w:t>
      </w:r>
      <w:r w:rsidRPr="005F599A">
        <w:rPr>
          <w:rFonts w:eastAsia="Times New Roman" w:cstheme="minorHAnsi"/>
          <w:vertAlign w:val="superscript"/>
        </w:rPr>
        <w:t>st</w:t>
      </w:r>
      <w:r w:rsidRPr="005F599A">
        <w:rPr>
          <w:rFonts w:eastAsia="Times New Roman" w:cstheme="minorHAnsi"/>
        </w:rPr>
        <w:t xml:space="preserve"> thru August 31</w:t>
      </w:r>
      <w:r w:rsidRPr="005F599A">
        <w:rPr>
          <w:rFonts w:eastAsia="Times New Roman" w:cstheme="minorHAnsi"/>
          <w:vertAlign w:val="superscript"/>
        </w:rPr>
        <w:t>st</w:t>
      </w:r>
      <w:r w:rsidRPr="005F599A">
        <w:rPr>
          <w:rFonts w:eastAsia="Times New Roman" w:cstheme="minorHAnsi"/>
        </w:rPr>
        <w:t xml:space="preserve">.  </w:t>
      </w:r>
    </w:p>
    <w:p w14:paraId="5C70CE24" w14:textId="77777777" w:rsidR="005F599A" w:rsidRDefault="005F599A" w:rsidP="005F599A">
      <w:pPr>
        <w:ind w:left="810"/>
        <w:rPr>
          <w:rFonts w:eastAsia="Times New Roman" w:cstheme="minorHAnsi"/>
          <w:sz w:val="24"/>
          <w:szCs w:val="24"/>
        </w:rPr>
      </w:pPr>
    </w:p>
    <w:p w14:paraId="6E5FA2DC" w14:textId="04067A37" w:rsidR="005F599A" w:rsidRPr="005F599A" w:rsidRDefault="00790A17" w:rsidP="005F599A">
      <w:pPr>
        <w:pStyle w:val="ListParagraph"/>
        <w:numPr>
          <w:ilvl w:val="0"/>
          <w:numId w:val="1"/>
        </w:numPr>
        <w:tabs>
          <w:tab w:val="left" w:pos="866"/>
        </w:tabs>
        <w:ind w:right="165"/>
        <w:rPr>
          <w:sz w:val="19"/>
        </w:rPr>
      </w:pPr>
      <w:r>
        <w:t xml:space="preserve">All effort devoted and corresponding salary charged to any sponsored project(s) must </w:t>
      </w:r>
      <w:proofErr w:type="gramStart"/>
      <w:r>
        <w:t>be in compliance with</w:t>
      </w:r>
      <w:proofErr w:type="gramEnd"/>
      <w:r>
        <w:t xml:space="preserve"> sponsor and Institutional policies. </w:t>
      </w:r>
      <w:r w:rsidR="005F599A" w:rsidRPr="005F599A">
        <w:t>A faculty member with any academic, administrative, or other non-sponsored responsibilities during the summer, should not normally contribute more than 95% of their effort to sponsored projects.</w:t>
      </w:r>
    </w:p>
    <w:p w14:paraId="078B37D9" w14:textId="77777777" w:rsidR="005F599A" w:rsidRPr="005F599A" w:rsidRDefault="005F599A" w:rsidP="005F599A">
      <w:pPr>
        <w:pStyle w:val="ListParagraph"/>
        <w:tabs>
          <w:tab w:val="left" w:pos="866"/>
        </w:tabs>
        <w:ind w:right="165" w:firstLine="0"/>
        <w:rPr>
          <w:sz w:val="19"/>
        </w:rPr>
      </w:pPr>
    </w:p>
    <w:p w14:paraId="5FBA6DFE" w14:textId="77777777" w:rsidR="008B435B" w:rsidRDefault="008B435B" w:rsidP="008B435B">
      <w:pPr>
        <w:pStyle w:val="ListParagraph"/>
        <w:numPr>
          <w:ilvl w:val="0"/>
          <w:numId w:val="1"/>
        </w:numPr>
        <w:tabs>
          <w:tab w:val="left" w:pos="944"/>
        </w:tabs>
        <w:ind w:right="488"/>
      </w:pPr>
      <w:r>
        <w:t>Charges to sponsored projects for summer sponsored research activities must be consistent with the</w:t>
      </w:r>
    </w:p>
    <w:p w14:paraId="0E1A9CF7" w14:textId="77777777" w:rsidR="008B435B" w:rsidRDefault="008B435B" w:rsidP="008B435B">
      <w:pPr>
        <w:pStyle w:val="ListParagraph"/>
        <w:tabs>
          <w:tab w:val="left" w:pos="944"/>
        </w:tabs>
        <w:ind w:right="488" w:firstLine="0"/>
      </w:pPr>
      <w:r>
        <w:t>level of effort devoted to each sponsored project during the period and with the funding provided.</w:t>
      </w:r>
    </w:p>
    <w:p w14:paraId="41BC72E5" w14:textId="2EEA2F8B" w:rsidR="008B435B" w:rsidRDefault="008B435B" w:rsidP="008B435B">
      <w:pPr>
        <w:pStyle w:val="ListParagraph"/>
        <w:tabs>
          <w:tab w:val="left" w:pos="944"/>
        </w:tabs>
        <w:ind w:right="488" w:firstLine="0"/>
      </w:pPr>
      <w:r>
        <w:t>This effort must be subsequently certified on the faculty member’s Effort Report which includes faculty summer salary charges on sponsored projects.</w:t>
      </w:r>
    </w:p>
    <w:p w14:paraId="75908E0F" w14:textId="77777777" w:rsidR="008B435B" w:rsidRDefault="008B435B" w:rsidP="008B435B">
      <w:pPr>
        <w:pStyle w:val="ListParagraph"/>
      </w:pPr>
    </w:p>
    <w:p w14:paraId="259EF00E" w14:textId="4D86A6DE" w:rsidR="00D94615" w:rsidRDefault="00790A17">
      <w:pPr>
        <w:pStyle w:val="ListParagraph"/>
        <w:numPr>
          <w:ilvl w:val="0"/>
          <w:numId w:val="1"/>
        </w:numPr>
        <w:tabs>
          <w:tab w:val="left" w:pos="944"/>
        </w:tabs>
        <w:ind w:right="488" w:hanging="360"/>
      </w:pPr>
      <w:r>
        <w:t xml:space="preserve">It is understood that, as part of their normal work, faculty may participate in “other academic, administrative or research activities” (OARA) during the summer. These activities include but are not limited </w:t>
      </w:r>
      <w:proofErr w:type="gramStart"/>
      <w:r>
        <w:t>to:</w:t>
      </w:r>
      <w:proofErr w:type="gramEnd"/>
      <w:r>
        <w:t xml:space="preserve"> advising students (outside the scope of the sponsored project charged), unsponsored research, administrative committees, preparing new or renewal proposals, teaching, curriculum development, peer reviews, refereeing and/or writing other scholarly publications. Effort associated with</w:t>
      </w:r>
      <w:r>
        <w:rPr>
          <w:spacing w:val="-5"/>
        </w:rPr>
        <w:t xml:space="preserve"> </w:t>
      </w:r>
      <w:r>
        <w:t>OARA</w:t>
      </w:r>
      <w:r>
        <w:rPr>
          <w:spacing w:val="-7"/>
        </w:rPr>
        <w:t xml:space="preserve"> </w:t>
      </w:r>
      <w:r>
        <w:t>during</w:t>
      </w:r>
      <w:r>
        <w:rPr>
          <w:spacing w:val="-10"/>
        </w:rPr>
        <w:t xml:space="preserve"> </w:t>
      </w:r>
      <w:r>
        <w:t>summer</w:t>
      </w:r>
      <w:r>
        <w:rPr>
          <w:spacing w:val="-10"/>
        </w:rPr>
        <w:t xml:space="preserve"> </w:t>
      </w:r>
      <w:r>
        <w:t>months</w:t>
      </w:r>
      <w:r>
        <w:rPr>
          <w:spacing w:val="-10"/>
        </w:rPr>
        <w:t xml:space="preserve"> </w:t>
      </w:r>
      <w:r>
        <w:t>may</w:t>
      </w:r>
      <w:r>
        <w:rPr>
          <w:spacing w:val="-5"/>
        </w:rPr>
        <w:t xml:space="preserve"> </w:t>
      </w:r>
      <w:r>
        <w:t>not</w:t>
      </w:r>
      <w:r>
        <w:rPr>
          <w:spacing w:val="-5"/>
        </w:rPr>
        <w:t xml:space="preserve"> </w:t>
      </w:r>
      <w:r>
        <w:t>be</w:t>
      </w:r>
      <w:r>
        <w:rPr>
          <w:spacing w:val="-3"/>
        </w:rPr>
        <w:t xml:space="preserve"> </w:t>
      </w:r>
      <w:r>
        <w:t>charged</w:t>
      </w:r>
      <w:r>
        <w:rPr>
          <w:spacing w:val="-9"/>
        </w:rPr>
        <w:t xml:space="preserve"> </w:t>
      </w:r>
      <w:r>
        <w:t>to</w:t>
      </w:r>
      <w:r>
        <w:rPr>
          <w:spacing w:val="-5"/>
        </w:rPr>
        <w:t xml:space="preserve"> </w:t>
      </w:r>
      <w:r>
        <w:t>any</w:t>
      </w:r>
      <w:r>
        <w:rPr>
          <w:spacing w:val="-5"/>
        </w:rPr>
        <w:t xml:space="preserve"> </w:t>
      </w:r>
      <w:r>
        <w:t>sponsored</w:t>
      </w:r>
      <w:r>
        <w:rPr>
          <w:spacing w:val="-12"/>
        </w:rPr>
        <w:t xml:space="preserve"> </w:t>
      </w:r>
      <w:r>
        <w:t>project.</w:t>
      </w:r>
    </w:p>
    <w:p w14:paraId="259EF00F" w14:textId="77777777" w:rsidR="00D94615" w:rsidRDefault="00D94615">
      <w:pPr>
        <w:pStyle w:val="BodyText"/>
        <w:spacing w:before="1"/>
        <w:rPr>
          <w:sz w:val="20"/>
        </w:rPr>
      </w:pPr>
    </w:p>
    <w:p w14:paraId="259EF010" w14:textId="77777777" w:rsidR="00D94615" w:rsidRDefault="00790A17">
      <w:pPr>
        <w:pStyle w:val="ListParagraph"/>
        <w:numPr>
          <w:ilvl w:val="0"/>
          <w:numId w:val="1"/>
        </w:numPr>
        <w:tabs>
          <w:tab w:val="left" w:pos="841"/>
        </w:tabs>
        <w:spacing w:before="1" w:line="237" w:lineRule="auto"/>
        <w:ind w:right="186" w:hanging="360"/>
      </w:pPr>
      <w:r>
        <w:t>To ensure compliance in not charging OARA effort to sponsored projects, effective May 16, 2015, faculty who choose to devote effort and receive compensation during the three summer months will not normally be allowed to charge more than 95% in any one month to a federal award (or a combination of federal awards). Colleges and Departments may be more</w:t>
      </w:r>
      <w:r>
        <w:rPr>
          <w:spacing w:val="-16"/>
        </w:rPr>
        <w:t xml:space="preserve"> </w:t>
      </w:r>
      <w:r>
        <w:t>restrictive.</w:t>
      </w:r>
    </w:p>
    <w:p w14:paraId="259EF011" w14:textId="77777777" w:rsidR="00D94615" w:rsidRDefault="00D94615">
      <w:pPr>
        <w:pStyle w:val="BodyText"/>
        <w:rPr>
          <w:sz w:val="20"/>
        </w:rPr>
      </w:pPr>
    </w:p>
    <w:p w14:paraId="403EC0EC" w14:textId="16CB72AB" w:rsidR="008B435B" w:rsidRDefault="008B435B" w:rsidP="008B435B">
      <w:pPr>
        <w:pStyle w:val="ListParagraph"/>
        <w:numPr>
          <w:ilvl w:val="0"/>
          <w:numId w:val="1"/>
        </w:numPr>
        <w:tabs>
          <w:tab w:val="left" w:pos="853"/>
        </w:tabs>
        <w:ind w:right="272"/>
      </w:pPr>
      <w:r>
        <w:t>National Science Foundation (NSF) as a general policy limits salary for senior personnel to no more than 2/9 months of their regular salary per year. This two-month limitation applies to both academic year salary and summer salary paid in a fiscal year. NSF projects include awards received directly from NSF, as well as those received as NSF flow-through sub</w:t>
      </w:r>
      <w:r w:rsidR="003070BC">
        <w:t>-</w:t>
      </w:r>
      <w:r>
        <w:t>awards.</w:t>
      </w:r>
    </w:p>
    <w:p w14:paraId="427BEA63" w14:textId="77777777" w:rsidR="008B435B" w:rsidRDefault="008B435B" w:rsidP="008B435B">
      <w:pPr>
        <w:pStyle w:val="ListParagraph"/>
        <w:tabs>
          <w:tab w:val="left" w:pos="853"/>
        </w:tabs>
        <w:ind w:right="272" w:firstLine="0"/>
      </w:pPr>
      <w:r>
        <w:t xml:space="preserve"> </w:t>
      </w:r>
    </w:p>
    <w:p w14:paraId="26DBAAD6" w14:textId="77777777" w:rsidR="008B435B" w:rsidRDefault="008B435B" w:rsidP="00766D33">
      <w:pPr>
        <w:pStyle w:val="ListParagraph"/>
        <w:tabs>
          <w:tab w:val="left" w:pos="853"/>
        </w:tabs>
        <w:ind w:right="272" w:firstLine="0"/>
      </w:pPr>
      <w:r>
        <w:t xml:space="preserve">If anticipated at the time the proposal is submitted, compensation for such personnel in excess of two months must be disclosed in the proposal budget, justified in the budget justification, and must be specifically approved by NSF in the award notice budget. </w:t>
      </w:r>
    </w:p>
    <w:p w14:paraId="5435A989" w14:textId="77777777" w:rsidR="008B435B" w:rsidRDefault="008B435B" w:rsidP="00766D33">
      <w:pPr>
        <w:pStyle w:val="ListParagraph"/>
        <w:tabs>
          <w:tab w:val="left" w:pos="853"/>
        </w:tabs>
        <w:ind w:right="272" w:firstLine="0"/>
      </w:pPr>
    </w:p>
    <w:p w14:paraId="75C97C62" w14:textId="735416C4" w:rsidR="003070BC" w:rsidRPr="00790A17" w:rsidRDefault="008B435B" w:rsidP="000453B2">
      <w:pPr>
        <w:pStyle w:val="ListParagraph"/>
        <w:tabs>
          <w:tab w:val="left" w:pos="853"/>
        </w:tabs>
        <w:ind w:right="272" w:firstLine="0"/>
        <w:rPr>
          <w:color w:val="FF0000"/>
        </w:rPr>
      </w:pPr>
      <w:r>
        <w:lastRenderedPageBreak/>
        <w:t>However, under normal re</w:t>
      </w:r>
      <w:r w:rsidR="003070BC">
        <w:t>-</w:t>
      </w:r>
      <w:r w:rsidRPr="12000A27">
        <w:t xml:space="preserve">budgeting authority, UNT can internally approve an increase in senior personnel person months that exceeds the </w:t>
      </w:r>
      <w:r w:rsidR="6C00413B">
        <w:t>two-month</w:t>
      </w:r>
      <w:r>
        <w:t xml:space="preserve"> salary policy, </w:t>
      </w:r>
      <w:proofErr w:type="gramStart"/>
      <w:r>
        <w:t>as long as</w:t>
      </w:r>
      <w:proofErr w:type="gramEnd"/>
      <w:r>
        <w:t xml:space="preserve"> that change does not change the objectives or scope of the project.</w:t>
      </w:r>
      <w:r w:rsidR="00790A17">
        <w:t xml:space="preserve">  </w:t>
      </w:r>
    </w:p>
    <w:p w14:paraId="13784EF0" w14:textId="2AAA8C91" w:rsidR="003070BC" w:rsidRDefault="003070BC" w:rsidP="003070BC">
      <w:pPr>
        <w:tabs>
          <w:tab w:val="left" w:pos="853"/>
        </w:tabs>
        <w:ind w:right="272"/>
      </w:pPr>
    </w:p>
    <w:p w14:paraId="10E364FB" w14:textId="0E742D59" w:rsidR="0032468C" w:rsidRDefault="003070BC" w:rsidP="000A036E">
      <w:pPr>
        <w:pStyle w:val="ListParagraph"/>
        <w:numPr>
          <w:ilvl w:val="0"/>
          <w:numId w:val="1"/>
        </w:numPr>
        <w:tabs>
          <w:tab w:val="left" w:pos="853"/>
        </w:tabs>
        <w:ind w:right="272"/>
      </w:pPr>
      <w:r>
        <w:t>National Institutes of Health (NIH) salary is subject to a variable</w:t>
      </w:r>
      <w:r w:rsidRPr="12000A27">
        <w:rPr>
          <w:rFonts w:asciiTheme="minorHAnsi" w:eastAsiaTheme="minorEastAsia" w:hAnsiTheme="minorHAnsi" w:cstheme="minorBidi"/>
        </w:rPr>
        <w:t xml:space="preserve"> annual cap. </w:t>
      </w:r>
      <w:r w:rsidR="0032468C" w:rsidRPr="12000A27">
        <w:rPr>
          <w:rFonts w:asciiTheme="minorHAnsi" w:eastAsiaTheme="minorEastAsia" w:hAnsiTheme="minorHAnsi" w:cstheme="minorBidi"/>
        </w:rPr>
        <w:t>The</w:t>
      </w:r>
      <w:r w:rsidR="000A036E" w:rsidRPr="12000A27">
        <w:rPr>
          <w:rFonts w:asciiTheme="minorHAnsi" w:eastAsiaTheme="minorEastAsia" w:hAnsiTheme="minorHAnsi" w:cstheme="minorBidi"/>
        </w:rPr>
        <w:t xml:space="preserve"> </w:t>
      </w:r>
      <w:r w:rsidR="68372AB7" w:rsidRPr="12000A27">
        <w:rPr>
          <w:rFonts w:asciiTheme="minorHAnsi" w:eastAsiaTheme="minorEastAsia" w:hAnsiTheme="minorHAnsi" w:cstheme="minorBidi"/>
        </w:rPr>
        <w:t xml:space="preserve">Further Continuing Appropriations and Other Extensions Act, 2024, </w:t>
      </w:r>
      <w:r w:rsidR="000A036E" w:rsidRPr="12000A27">
        <w:rPr>
          <w:rFonts w:asciiTheme="minorHAnsi" w:eastAsiaTheme="minorEastAsia" w:hAnsiTheme="minorHAnsi" w:cstheme="minorBidi"/>
        </w:rPr>
        <w:t>Act, 20 (Public Law 11</w:t>
      </w:r>
      <w:r w:rsidR="726A16B4" w:rsidRPr="12000A27">
        <w:rPr>
          <w:rFonts w:asciiTheme="minorHAnsi" w:eastAsiaTheme="minorEastAsia" w:hAnsiTheme="minorHAnsi" w:cstheme="minorBidi"/>
        </w:rPr>
        <w:t>8</w:t>
      </w:r>
      <w:r w:rsidR="000A036E" w:rsidRPr="12000A27">
        <w:rPr>
          <w:rFonts w:asciiTheme="minorHAnsi" w:eastAsiaTheme="minorEastAsia" w:hAnsiTheme="minorHAnsi" w:cstheme="minorBidi"/>
        </w:rPr>
        <w:t>-2</w:t>
      </w:r>
      <w:r w:rsidR="5E0583F3" w:rsidRPr="12000A27">
        <w:rPr>
          <w:rFonts w:asciiTheme="minorHAnsi" w:eastAsiaTheme="minorEastAsia" w:hAnsiTheme="minorHAnsi" w:cstheme="minorBidi"/>
        </w:rPr>
        <w:t>2</w:t>
      </w:r>
      <w:r w:rsidR="000A036E" w:rsidRPr="12000A27">
        <w:rPr>
          <w:rFonts w:asciiTheme="minorHAnsi" w:eastAsiaTheme="minorEastAsia" w:hAnsiTheme="minorHAnsi" w:cstheme="minorBidi"/>
        </w:rPr>
        <w:t>), signed into law</w:t>
      </w:r>
      <w:r w:rsidR="7F36340F" w:rsidRPr="12000A27">
        <w:rPr>
          <w:rFonts w:asciiTheme="minorHAnsi" w:eastAsiaTheme="minorEastAsia" w:hAnsiTheme="minorHAnsi" w:cstheme="minorBidi"/>
        </w:rPr>
        <w:t>,</w:t>
      </w:r>
      <w:r w:rsidR="0032468C" w:rsidRPr="12000A27">
        <w:rPr>
          <w:rFonts w:asciiTheme="minorHAnsi" w:eastAsiaTheme="minorEastAsia" w:hAnsiTheme="minorHAnsi" w:cstheme="minorBidi"/>
        </w:rPr>
        <w:t xml:space="preserve"> restricts the amount of direct salary to Executive Level II of the Federal Executive pay scale. The Office of Personnel Management has recently released new salary levels for the Executive Pay Scale. Effective January </w:t>
      </w:r>
      <w:r w:rsidR="2B2B8837" w:rsidRPr="12000A27">
        <w:rPr>
          <w:rFonts w:asciiTheme="minorHAnsi" w:eastAsiaTheme="minorEastAsia" w:hAnsiTheme="minorHAnsi" w:cstheme="minorBidi"/>
        </w:rPr>
        <w:t>1</w:t>
      </w:r>
      <w:r w:rsidR="0032468C" w:rsidRPr="12000A27">
        <w:rPr>
          <w:rFonts w:asciiTheme="minorHAnsi" w:eastAsiaTheme="minorEastAsia" w:hAnsiTheme="minorHAnsi" w:cstheme="minorBidi"/>
        </w:rPr>
        <w:t>, 20</w:t>
      </w:r>
      <w:r w:rsidR="00C34ED3" w:rsidRPr="12000A27">
        <w:rPr>
          <w:rFonts w:asciiTheme="minorHAnsi" w:eastAsiaTheme="minorEastAsia" w:hAnsiTheme="minorHAnsi" w:cstheme="minorBidi"/>
        </w:rPr>
        <w:t>24</w:t>
      </w:r>
      <w:r w:rsidR="0032468C" w:rsidRPr="12000A27">
        <w:rPr>
          <w:rFonts w:asciiTheme="minorHAnsi" w:eastAsiaTheme="minorEastAsia" w:hAnsiTheme="minorHAnsi" w:cstheme="minorBidi"/>
        </w:rPr>
        <w:t>, the salary limitation for Execu</w:t>
      </w:r>
      <w:r w:rsidR="0032468C">
        <w:t>tive Level II is $</w:t>
      </w:r>
      <w:r w:rsidR="4F480C5A">
        <w:t>221</w:t>
      </w:r>
      <w:r w:rsidR="0032468C">
        <w:t>,</w:t>
      </w:r>
      <w:r w:rsidR="588CD6D7">
        <w:t>9</w:t>
      </w:r>
      <w:r w:rsidR="0032468C">
        <w:t>00.</w:t>
      </w:r>
    </w:p>
    <w:p w14:paraId="1DC1F6A3" w14:textId="3C743021" w:rsidR="0032468C" w:rsidRDefault="0032468C" w:rsidP="0032468C">
      <w:pPr>
        <w:tabs>
          <w:tab w:val="left" w:pos="853"/>
        </w:tabs>
        <w:ind w:right="272"/>
      </w:pPr>
    </w:p>
    <w:p w14:paraId="25718E8A" w14:textId="403FEC9E" w:rsidR="0032468C" w:rsidRDefault="0032468C" w:rsidP="0032468C">
      <w:pPr>
        <w:pStyle w:val="ListParagraph"/>
        <w:tabs>
          <w:tab w:val="left" w:pos="853"/>
        </w:tabs>
        <w:ind w:right="272" w:firstLine="0"/>
      </w:pPr>
      <w:r>
        <w:t xml:space="preserve">Awards made during different Federal fiscal years </w:t>
      </w:r>
      <w:r w:rsidR="008516DB">
        <w:t>were</w:t>
      </w:r>
      <w:r>
        <w:t xml:space="preserve"> subject to different salary rate caps.  For awards issued January</w:t>
      </w:r>
      <w:r w:rsidR="008516DB">
        <w:t xml:space="preserve"> </w:t>
      </w:r>
      <w:r w:rsidR="206EE435">
        <w:t>1</w:t>
      </w:r>
      <w:r>
        <w:t xml:space="preserve">, </w:t>
      </w:r>
      <w:proofErr w:type="gramStart"/>
      <w:r>
        <w:t>20</w:t>
      </w:r>
      <w:r w:rsidR="253DF180">
        <w:t>24</w:t>
      </w:r>
      <w:proofErr w:type="gramEnd"/>
      <w:r>
        <w:t xml:space="preserve"> and beyond (Executive Level II) the NIH salary cap limit is </w:t>
      </w:r>
      <w:r w:rsidR="7DE55A06">
        <w:t>221</w:t>
      </w:r>
      <w:r>
        <w:t>,0 for a 12-month period ($1</w:t>
      </w:r>
      <w:r w:rsidR="747A5239">
        <w:t>66,425</w:t>
      </w:r>
      <w:r>
        <w:t xml:space="preserve"> for a nine-month appointment or $1</w:t>
      </w:r>
      <w:r w:rsidR="6101EE0B">
        <w:t>8,</w:t>
      </w:r>
      <w:r w:rsidR="668AD334">
        <w:t>491</w:t>
      </w:r>
      <w:r>
        <w:t>.</w:t>
      </w:r>
      <w:r w:rsidR="2117ABBE">
        <w:t>67</w:t>
      </w:r>
      <w:r>
        <w:t xml:space="preserve"> per monthly pay period). For salaries above this limit, effort </w:t>
      </w:r>
      <w:r w:rsidR="00DA69DA">
        <w:t xml:space="preserve">on NIH projects </w:t>
      </w:r>
      <w:r>
        <w:t>must be supplemented by non-sponsored funds in order</w:t>
      </w:r>
      <w:r w:rsidR="67CECD72">
        <w:t xml:space="preserve"> </w:t>
      </w:r>
      <w:r w:rsidR="36681C82">
        <w:t>to</w:t>
      </w:r>
      <w:r>
        <w:t xml:space="preserve"> receive the entire salary rate amount. Please contact OGCA for calculation assistance.  Also, for your convenience, please find below the link for the Salary Cap Calculator.</w:t>
      </w:r>
    </w:p>
    <w:p w14:paraId="5067493D" w14:textId="193D3823" w:rsidR="0032468C" w:rsidRDefault="0032468C" w:rsidP="0032468C">
      <w:pPr>
        <w:tabs>
          <w:tab w:val="left" w:pos="853"/>
        </w:tabs>
        <w:ind w:right="272"/>
      </w:pPr>
    </w:p>
    <w:p w14:paraId="65B1AE30" w14:textId="7FFF6288" w:rsidR="0032468C" w:rsidRDefault="00000000" w:rsidP="12000A27">
      <w:pPr>
        <w:ind w:left="720" w:firstLine="100"/>
        <w:rPr>
          <w:rFonts w:eastAsiaTheme="minorEastAsia"/>
          <w:color w:val="1F497D"/>
        </w:rPr>
      </w:pPr>
      <w:hyperlink r:id="rId10">
        <w:r w:rsidR="0032468C" w:rsidRPr="12000A27">
          <w:rPr>
            <w:rStyle w:val="Hyperlink"/>
          </w:rPr>
          <w:t>Salary Cap Calculator for Determining Salary Distribution</w:t>
        </w:r>
      </w:hyperlink>
    </w:p>
    <w:p w14:paraId="7EA5B42A" w14:textId="77777777" w:rsidR="0032468C" w:rsidRDefault="0032468C" w:rsidP="0032468C">
      <w:pPr>
        <w:pStyle w:val="ListParagraph"/>
        <w:tabs>
          <w:tab w:val="left" w:pos="853"/>
        </w:tabs>
        <w:ind w:right="272" w:firstLine="0"/>
      </w:pPr>
    </w:p>
    <w:p w14:paraId="237BEB4D" w14:textId="7426CFA1" w:rsidR="0032468C" w:rsidRDefault="0032468C" w:rsidP="0032468C">
      <w:pPr>
        <w:pStyle w:val="ListParagraph"/>
        <w:tabs>
          <w:tab w:val="left" w:pos="853"/>
        </w:tabs>
        <w:ind w:right="272" w:firstLine="0"/>
      </w:pPr>
      <w:r>
        <w:t>For awards issued in those years that were restricted to Executive Level II (see Salary Cap Summary, FY 1990 – FY 20</w:t>
      </w:r>
      <w:r w:rsidR="009C72E3">
        <w:t>24</w:t>
      </w:r>
      <w:r>
        <w:t>)</w:t>
      </w:r>
      <w:r w:rsidR="008516DB">
        <w:t xml:space="preserve"> </w:t>
      </w:r>
      <w:hyperlink r:id="rId11" w:history="1">
        <w:r w:rsidR="008516DB">
          <w:rPr>
            <w:rStyle w:val="Hyperlink"/>
          </w:rPr>
          <w:t>Salary Cap Summary (FY 1990 - Present)</w:t>
        </w:r>
      </w:hyperlink>
      <w:r>
        <w:t>, including competing awards already issued in FY</w:t>
      </w:r>
      <w:r w:rsidR="008516DB">
        <w:t xml:space="preserve"> </w:t>
      </w:r>
      <w:r>
        <w:t>20</w:t>
      </w:r>
      <w:r w:rsidR="00DE6983">
        <w:t>24</w:t>
      </w:r>
      <w:r>
        <w:t xml:space="preserve">, if adequate funds are available in active awards, and if the salary cap increase is consistent with the institutional base salary, grantees may </w:t>
      </w:r>
      <w:proofErr w:type="spellStart"/>
      <w:r>
        <w:t>rebudget</w:t>
      </w:r>
      <w:proofErr w:type="spellEnd"/>
      <w:r>
        <w:t xml:space="preserve"> to accommodate the current Executive Level II salary level. However, no additional funds will be provided to these grant awards.</w:t>
      </w:r>
    </w:p>
    <w:p w14:paraId="528C4920" w14:textId="77777777" w:rsidR="00490BF0" w:rsidRDefault="00490BF0" w:rsidP="00490BF0">
      <w:pPr>
        <w:rPr>
          <w:color w:val="1F497D"/>
        </w:rPr>
      </w:pPr>
    </w:p>
    <w:p w14:paraId="5E9B9511" w14:textId="6CB5D927" w:rsidR="00A23C7B" w:rsidRDefault="003070BC" w:rsidP="003070BC">
      <w:pPr>
        <w:pStyle w:val="ListParagraph"/>
        <w:tabs>
          <w:tab w:val="left" w:pos="853"/>
        </w:tabs>
        <w:ind w:right="272"/>
      </w:pPr>
      <w:r>
        <w:tab/>
        <w:t xml:space="preserve">The salary cap limitation applies to all NIH funded projects including awards received directly from NIH, </w:t>
      </w:r>
      <w:r w:rsidR="00DA69DA">
        <w:t>as well as</w:t>
      </w:r>
      <w:r>
        <w:t xml:space="preserve"> those received as NIH flow-through subawards. </w:t>
      </w:r>
      <w:r w:rsidR="004E4811">
        <w:t xml:space="preserve">  </w:t>
      </w:r>
    </w:p>
    <w:p w14:paraId="7F1F6B52" w14:textId="77777777" w:rsidR="00A23C7B" w:rsidRDefault="00A23C7B" w:rsidP="003070BC">
      <w:pPr>
        <w:pStyle w:val="ListParagraph"/>
        <w:tabs>
          <w:tab w:val="left" w:pos="853"/>
        </w:tabs>
        <w:ind w:right="272"/>
      </w:pPr>
    </w:p>
    <w:p w14:paraId="50FC6965" w14:textId="4966A554" w:rsidR="003070BC" w:rsidRDefault="00A23C7B" w:rsidP="003070BC">
      <w:pPr>
        <w:pStyle w:val="ListParagraph"/>
        <w:tabs>
          <w:tab w:val="left" w:pos="853"/>
        </w:tabs>
        <w:ind w:right="272"/>
      </w:pPr>
      <w:r>
        <w:tab/>
      </w:r>
      <w:r w:rsidR="003070BC">
        <w:t xml:space="preserve">Below is the </w:t>
      </w:r>
      <w:r w:rsidR="004E4811">
        <w:t xml:space="preserve">URL for the </w:t>
      </w:r>
      <w:r w:rsidR="0032468C">
        <w:t>FY</w:t>
      </w:r>
      <w:r w:rsidR="00F70453">
        <w:t xml:space="preserve"> 24</w:t>
      </w:r>
      <w:r w:rsidR="00904921">
        <w:t xml:space="preserve"> </w:t>
      </w:r>
      <w:r w:rsidR="0032468C">
        <w:t>NIH guidance for the salary limitation for Grants and Cooperative Agreements</w:t>
      </w:r>
      <w:r w:rsidR="003070BC">
        <w:t xml:space="preserve">. Please contact your </w:t>
      </w:r>
      <w:r>
        <w:t>post award administrator</w:t>
      </w:r>
      <w:r w:rsidR="003070BC">
        <w:t xml:space="preserve"> should you need further information.</w:t>
      </w:r>
    </w:p>
    <w:p w14:paraId="7B2A7B98" w14:textId="73DB4428" w:rsidR="0032468C" w:rsidRDefault="0032468C" w:rsidP="003070BC">
      <w:pPr>
        <w:pStyle w:val="ListParagraph"/>
        <w:tabs>
          <w:tab w:val="left" w:pos="853"/>
        </w:tabs>
        <w:ind w:right="272"/>
      </w:pPr>
    </w:p>
    <w:p w14:paraId="5867D9EB" w14:textId="77777777" w:rsidR="008516DB" w:rsidRDefault="008516DB" w:rsidP="008516DB">
      <w:pPr>
        <w:tabs>
          <w:tab w:val="left" w:pos="853"/>
        </w:tabs>
        <w:ind w:right="272"/>
      </w:pPr>
    </w:p>
    <w:p w14:paraId="5E9130CC" w14:textId="6F8B218C" w:rsidR="008516DB" w:rsidRDefault="008516DB" w:rsidP="008516DB">
      <w:pPr>
        <w:pStyle w:val="ListParagraph"/>
        <w:tabs>
          <w:tab w:val="left" w:pos="853"/>
        </w:tabs>
        <w:ind w:right="272"/>
      </w:pPr>
      <w:r>
        <w:tab/>
      </w:r>
      <w:hyperlink r:id="rId12" w:history="1">
        <w:r>
          <w:rPr>
            <w:rStyle w:val="Hyperlink"/>
          </w:rPr>
          <w:t>Guidance on Salary Limitation for Grants and Cooperative Agreements FY 20</w:t>
        </w:r>
        <w:r w:rsidR="009C72E3">
          <w:rPr>
            <w:rStyle w:val="Hyperlink"/>
          </w:rPr>
          <w:t>24</w:t>
        </w:r>
      </w:hyperlink>
      <w:r w:rsidR="0032468C">
        <w:tab/>
      </w:r>
    </w:p>
    <w:p w14:paraId="06D982B8" w14:textId="77777777" w:rsidR="003070BC" w:rsidRDefault="003070BC" w:rsidP="003070BC">
      <w:pPr>
        <w:pStyle w:val="ListParagraph"/>
        <w:tabs>
          <w:tab w:val="left" w:pos="853"/>
        </w:tabs>
        <w:ind w:right="272" w:firstLine="0"/>
      </w:pPr>
    </w:p>
    <w:p w14:paraId="20DA31C8" w14:textId="1386716B" w:rsidR="003070BC" w:rsidRDefault="003070BC" w:rsidP="000453B2">
      <w:pPr>
        <w:pStyle w:val="ListParagraph"/>
        <w:numPr>
          <w:ilvl w:val="0"/>
          <w:numId w:val="1"/>
        </w:numPr>
        <w:tabs>
          <w:tab w:val="left" w:pos="853"/>
        </w:tabs>
        <w:ind w:right="272" w:hanging="370"/>
      </w:pPr>
      <w:r>
        <w:t>Cancer Prevention Research Institute of Texas (CPRIT) salary may be subject to an annual</w:t>
      </w:r>
      <w:r w:rsidR="000453B2">
        <w:t xml:space="preserve"> </w:t>
      </w:r>
      <w:r>
        <w:t xml:space="preserve">cap of $200,000 for </w:t>
      </w:r>
      <w:r w:rsidR="00470A85">
        <w:t xml:space="preserve">FY </w:t>
      </w:r>
      <w:r w:rsidR="009C72E3">
        <w:t>24</w:t>
      </w:r>
      <w:r>
        <w:t xml:space="preserve"> awards </w:t>
      </w:r>
      <w:r w:rsidR="00470A85">
        <w:t xml:space="preserve">for </w:t>
      </w:r>
      <w:r>
        <w:t>a 12-month period ($150,000 for a nine-month appointment or $</w:t>
      </w:r>
      <w:r w:rsidR="00470A85">
        <w:t>16</w:t>
      </w:r>
      <w:r>
        <w:t>,</w:t>
      </w:r>
      <w:r w:rsidR="00470A85">
        <w:t>666</w:t>
      </w:r>
      <w:r>
        <w:t>.</w:t>
      </w:r>
      <w:r w:rsidR="00470A85">
        <w:t xml:space="preserve">66 </w:t>
      </w:r>
      <w:r>
        <w:t xml:space="preserve">per </w:t>
      </w:r>
      <w:r w:rsidR="00470A85">
        <w:t xml:space="preserve">monthly </w:t>
      </w:r>
      <w:r>
        <w:t>pay period). If the award is subject to the salary cap limitation and the salaries are above</w:t>
      </w:r>
      <w:r w:rsidR="00470A85">
        <w:t xml:space="preserve"> </w:t>
      </w:r>
      <w:r>
        <w:t xml:space="preserve">this limit, CPRIT effort must be supplemented by non-sponsored funds. Please contact </w:t>
      </w:r>
      <w:r w:rsidR="00470A85">
        <w:t>OGCA</w:t>
      </w:r>
      <w:r>
        <w:t xml:space="preserve"> for calculation assistance.</w:t>
      </w:r>
    </w:p>
    <w:p w14:paraId="6BC72598" w14:textId="77777777" w:rsidR="00470A85" w:rsidRDefault="00470A85" w:rsidP="003070BC">
      <w:pPr>
        <w:pStyle w:val="ListParagraph"/>
        <w:tabs>
          <w:tab w:val="left" w:pos="853"/>
        </w:tabs>
        <w:ind w:right="272" w:firstLine="0"/>
      </w:pPr>
    </w:p>
    <w:p w14:paraId="259EF015" w14:textId="089C65F6" w:rsidR="00D94615" w:rsidRDefault="003070BC" w:rsidP="00470A85">
      <w:pPr>
        <w:pStyle w:val="ListParagraph"/>
        <w:tabs>
          <w:tab w:val="left" w:pos="853"/>
        </w:tabs>
        <w:ind w:right="272" w:firstLine="0"/>
        <w:rPr>
          <w:color w:val="FF0000"/>
        </w:rPr>
      </w:pPr>
      <w:r>
        <w:t>The salary cap limitation applies to most CPRIT awards*, whether funded directly by CPRIT or</w:t>
      </w:r>
      <w:r w:rsidR="005F599A">
        <w:t xml:space="preserve"> </w:t>
      </w:r>
      <w:r>
        <w:t xml:space="preserve">received as CPRIT flow-through subawards. </w:t>
      </w:r>
      <w:r w:rsidR="00790A17">
        <w:t xml:space="preserve"> </w:t>
      </w:r>
    </w:p>
    <w:p w14:paraId="0904003C" w14:textId="7BC3C775" w:rsidR="005F599A" w:rsidRDefault="005F599A" w:rsidP="00470A85">
      <w:pPr>
        <w:pStyle w:val="ListParagraph"/>
        <w:tabs>
          <w:tab w:val="left" w:pos="853"/>
        </w:tabs>
        <w:ind w:right="272" w:firstLine="0"/>
        <w:rPr>
          <w:color w:val="FF0000"/>
        </w:rPr>
      </w:pPr>
    </w:p>
    <w:p w14:paraId="20C7C89E" w14:textId="7E58B257" w:rsidR="005F599A" w:rsidRPr="00790A17" w:rsidRDefault="005F599A" w:rsidP="00470A85">
      <w:pPr>
        <w:pStyle w:val="ListParagraph"/>
        <w:tabs>
          <w:tab w:val="left" w:pos="853"/>
        </w:tabs>
        <w:ind w:right="272" w:firstLine="0"/>
        <w:rPr>
          <w:color w:val="FF0000"/>
          <w:sz w:val="23"/>
        </w:rPr>
      </w:pPr>
      <w:r>
        <w:rPr>
          <w:rFonts w:ascii="Times New Roman" w:eastAsia="Times New Roman" w:hAnsi="Times New Roman" w:cs="Times New Roman"/>
          <w:b/>
        </w:rPr>
        <w:t>*</w:t>
      </w:r>
      <w:r>
        <w:t xml:space="preserve"> </w:t>
      </w:r>
      <w:r>
        <w:rPr>
          <w:rFonts w:ascii="Times New Roman" w:eastAsia="Times New Roman" w:hAnsi="Times New Roman" w:cs="Times New Roman"/>
          <w:i/>
        </w:rPr>
        <w:t>While most CPRIT awards and subawards are subject to the salary cap, some CPRIT projects are exempt from this limitation and will allow higher salary amounts. Refer to the specific award terms and conditions to determine if the salary limit is applicable.</w:t>
      </w:r>
    </w:p>
    <w:p w14:paraId="445C3DE0" w14:textId="77777777" w:rsidR="008B435B" w:rsidRDefault="008B435B">
      <w:pPr>
        <w:pStyle w:val="BodyText"/>
        <w:spacing w:before="1"/>
        <w:ind w:left="100"/>
        <w:jc w:val="both"/>
      </w:pPr>
    </w:p>
    <w:p w14:paraId="259EF017" w14:textId="38FF14C7" w:rsidR="00D94615" w:rsidRDefault="00790A17" w:rsidP="004E4811">
      <w:pPr>
        <w:pStyle w:val="BodyText"/>
        <w:spacing w:before="1"/>
        <w:ind w:left="100"/>
        <w:jc w:val="both"/>
      </w:pPr>
      <w:r>
        <w:t>Faculty should consult the terms and conditions of their awards prior to committing summer month effort as</w:t>
      </w:r>
      <w:r w:rsidR="004E4811">
        <w:t xml:space="preserve"> </w:t>
      </w:r>
      <w:r>
        <w:rPr>
          <w:position w:val="1"/>
        </w:rPr>
        <w:t xml:space="preserve">sponsors may have restrictions on summer salary. Any questions regarding sponsor terms or conditions should </w:t>
      </w:r>
      <w:r>
        <w:t>be addressed by the OGCA.</w:t>
      </w:r>
    </w:p>
    <w:p w14:paraId="259EF018" w14:textId="32715F68" w:rsidR="00D94615" w:rsidRDefault="00D94615">
      <w:pPr>
        <w:pStyle w:val="BodyText"/>
        <w:spacing w:before="6"/>
        <w:rPr>
          <w:sz w:val="24"/>
        </w:rPr>
      </w:pPr>
    </w:p>
    <w:p w14:paraId="4265E150" w14:textId="3AE7D1DE" w:rsidR="0032468C" w:rsidRDefault="0032468C">
      <w:pPr>
        <w:pStyle w:val="BodyText"/>
        <w:spacing w:before="6"/>
        <w:rPr>
          <w:sz w:val="24"/>
        </w:rPr>
      </w:pPr>
    </w:p>
    <w:p w14:paraId="6A6B0544" w14:textId="405EB3DD" w:rsidR="0032468C" w:rsidRDefault="0032468C">
      <w:pPr>
        <w:pStyle w:val="BodyText"/>
        <w:spacing w:before="6"/>
        <w:rPr>
          <w:sz w:val="24"/>
        </w:rPr>
      </w:pPr>
    </w:p>
    <w:p w14:paraId="0C26F563" w14:textId="4DA0911C" w:rsidR="00024211" w:rsidRDefault="00024211">
      <w:pPr>
        <w:pStyle w:val="BodyText"/>
        <w:spacing w:before="6"/>
        <w:rPr>
          <w:sz w:val="24"/>
        </w:rPr>
      </w:pPr>
    </w:p>
    <w:p w14:paraId="23EBB737" w14:textId="77777777" w:rsidR="00024211" w:rsidRDefault="00024211">
      <w:pPr>
        <w:pStyle w:val="BodyText"/>
        <w:spacing w:before="6"/>
        <w:rPr>
          <w:sz w:val="24"/>
        </w:rPr>
      </w:pPr>
    </w:p>
    <w:p w14:paraId="11B3B27F" w14:textId="77777777" w:rsidR="0032468C" w:rsidRDefault="0032468C">
      <w:pPr>
        <w:pStyle w:val="BodyText"/>
        <w:spacing w:before="6"/>
        <w:rPr>
          <w:sz w:val="24"/>
        </w:rPr>
      </w:pPr>
    </w:p>
    <w:p w14:paraId="259EF019" w14:textId="39CA5E49" w:rsidR="00D94615" w:rsidRDefault="00790A17">
      <w:pPr>
        <w:ind w:left="100"/>
        <w:jc w:val="both"/>
      </w:pPr>
      <w:r>
        <w:rPr>
          <w:b/>
        </w:rPr>
        <w:t>Reference</w:t>
      </w:r>
      <w:r>
        <w:rPr>
          <w:b/>
          <w:color w:val="3B3B3B"/>
        </w:rPr>
        <w:t xml:space="preserve">:  </w:t>
      </w:r>
      <w:r>
        <w:rPr>
          <w:color w:val="3B3B3B"/>
        </w:rPr>
        <w:t>Code of Federal Regulations, 2 CFR 200.430</w:t>
      </w:r>
    </w:p>
    <w:p w14:paraId="259EF01A" w14:textId="77777777" w:rsidR="00D94615" w:rsidRDefault="00D94615">
      <w:pPr>
        <w:pStyle w:val="BodyText"/>
        <w:spacing w:before="10"/>
      </w:pPr>
    </w:p>
    <w:p w14:paraId="690353B7" w14:textId="7E850420" w:rsidR="00470A85" w:rsidRDefault="00790A17">
      <w:pPr>
        <w:pStyle w:val="BodyText"/>
        <w:spacing w:line="276" w:lineRule="auto"/>
        <w:ind w:left="100" w:right="2202"/>
      </w:pPr>
      <w:r>
        <w:t xml:space="preserve">Executive Approver: Dr. </w:t>
      </w:r>
      <w:r w:rsidR="00470A85">
        <w:t>Narendra Dahotre</w:t>
      </w:r>
      <w:r>
        <w:t xml:space="preserve">, Vice President for Research and </w:t>
      </w:r>
      <w:r w:rsidR="00470A85">
        <w:t>Innovation</w:t>
      </w:r>
    </w:p>
    <w:p w14:paraId="259EF01B" w14:textId="3FAF86F2" w:rsidR="00D94615" w:rsidRDefault="00790A17">
      <w:pPr>
        <w:pStyle w:val="BodyText"/>
        <w:spacing w:line="276" w:lineRule="auto"/>
        <w:ind w:left="100" w:right="2202"/>
      </w:pPr>
      <w:r>
        <w:t>Guideline Owner: Office of Grants and Contracts Administration (OGCA)</w:t>
      </w:r>
    </w:p>
    <w:p w14:paraId="259EF01C" w14:textId="77777777" w:rsidR="00D94615" w:rsidRDefault="00790A17">
      <w:pPr>
        <w:pStyle w:val="BodyText"/>
        <w:ind w:left="100"/>
        <w:jc w:val="both"/>
      </w:pPr>
      <w:r>
        <w:t>Effective Date: 10.1.14</w:t>
      </w:r>
    </w:p>
    <w:p w14:paraId="259EF01D" w14:textId="1AC72B01" w:rsidR="00D94615" w:rsidRDefault="00790A17">
      <w:pPr>
        <w:pStyle w:val="BodyText"/>
        <w:spacing w:before="78"/>
        <w:ind w:left="100"/>
        <w:jc w:val="both"/>
      </w:pPr>
      <w:r>
        <w:t xml:space="preserve">Revised Date: </w:t>
      </w:r>
      <w:r w:rsidR="00470A85">
        <w:t>0</w:t>
      </w:r>
      <w:r w:rsidR="0009676B">
        <w:t>3</w:t>
      </w:r>
      <w:r>
        <w:t>.</w:t>
      </w:r>
      <w:r w:rsidR="0009676B">
        <w:t>1</w:t>
      </w:r>
      <w:r w:rsidR="003A39E3">
        <w:t>5</w:t>
      </w:r>
      <w:r>
        <w:t>.</w:t>
      </w:r>
      <w:r w:rsidR="0009676B">
        <w:t>24</w:t>
      </w:r>
    </w:p>
    <w:p w14:paraId="259EF01E" w14:textId="77777777" w:rsidR="00D94615" w:rsidRDefault="00D94615">
      <w:pPr>
        <w:pStyle w:val="BodyText"/>
        <w:spacing w:before="5"/>
        <w:rPr>
          <w:sz w:val="28"/>
        </w:rPr>
      </w:pPr>
    </w:p>
    <w:p w14:paraId="259EF01F" w14:textId="65C98E57" w:rsidR="00D94615" w:rsidRDefault="00790A17">
      <w:pPr>
        <w:pStyle w:val="BodyText"/>
        <w:ind w:left="100"/>
        <w:jc w:val="both"/>
      </w:pPr>
      <w:r>
        <w:t>Questions: Please contact GCA at 940‐565‐3940</w:t>
      </w:r>
    </w:p>
    <w:sectPr w:rsidR="00D94615">
      <w:type w:val="continuous"/>
      <w:pgSz w:w="12240" w:h="15840"/>
      <w:pgMar w:top="720" w:right="8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83775"/>
    <w:multiLevelType w:val="hybridMultilevel"/>
    <w:tmpl w:val="67905A4A"/>
    <w:lvl w:ilvl="0" w:tplc="49C22292">
      <w:start w:val="1"/>
      <w:numFmt w:val="upperLetter"/>
      <w:lvlText w:val="%1."/>
      <w:lvlJc w:val="left"/>
      <w:pPr>
        <w:ind w:left="820" w:hanging="410"/>
      </w:pPr>
      <w:rPr>
        <w:rFonts w:ascii="Calibri" w:eastAsia="Calibri" w:hAnsi="Calibri" w:cs="Calibri" w:hint="default"/>
        <w:w w:val="99"/>
        <w:sz w:val="22"/>
        <w:szCs w:val="22"/>
      </w:rPr>
    </w:lvl>
    <w:lvl w:ilvl="1" w:tplc="8076A194">
      <w:numFmt w:val="bullet"/>
      <w:lvlText w:val="•"/>
      <w:lvlJc w:val="left"/>
      <w:pPr>
        <w:ind w:left="1778" w:hanging="410"/>
      </w:pPr>
      <w:rPr>
        <w:rFonts w:hint="default"/>
      </w:rPr>
    </w:lvl>
    <w:lvl w:ilvl="2" w:tplc="46545BE4">
      <w:numFmt w:val="bullet"/>
      <w:lvlText w:val="•"/>
      <w:lvlJc w:val="left"/>
      <w:pPr>
        <w:ind w:left="2736" w:hanging="410"/>
      </w:pPr>
      <w:rPr>
        <w:rFonts w:hint="default"/>
      </w:rPr>
    </w:lvl>
    <w:lvl w:ilvl="3" w:tplc="B224A3DE">
      <w:numFmt w:val="bullet"/>
      <w:lvlText w:val="•"/>
      <w:lvlJc w:val="left"/>
      <w:pPr>
        <w:ind w:left="3694" w:hanging="410"/>
      </w:pPr>
      <w:rPr>
        <w:rFonts w:hint="default"/>
      </w:rPr>
    </w:lvl>
    <w:lvl w:ilvl="4" w:tplc="F88255EE">
      <w:numFmt w:val="bullet"/>
      <w:lvlText w:val="•"/>
      <w:lvlJc w:val="left"/>
      <w:pPr>
        <w:ind w:left="4652" w:hanging="410"/>
      </w:pPr>
      <w:rPr>
        <w:rFonts w:hint="default"/>
      </w:rPr>
    </w:lvl>
    <w:lvl w:ilvl="5" w:tplc="16BED9F6">
      <w:numFmt w:val="bullet"/>
      <w:lvlText w:val="•"/>
      <w:lvlJc w:val="left"/>
      <w:pPr>
        <w:ind w:left="5610" w:hanging="410"/>
      </w:pPr>
      <w:rPr>
        <w:rFonts w:hint="default"/>
      </w:rPr>
    </w:lvl>
    <w:lvl w:ilvl="6" w:tplc="61789742">
      <w:numFmt w:val="bullet"/>
      <w:lvlText w:val="•"/>
      <w:lvlJc w:val="left"/>
      <w:pPr>
        <w:ind w:left="6568" w:hanging="410"/>
      </w:pPr>
      <w:rPr>
        <w:rFonts w:hint="default"/>
      </w:rPr>
    </w:lvl>
    <w:lvl w:ilvl="7" w:tplc="2D7A0F26">
      <w:numFmt w:val="bullet"/>
      <w:lvlText w:val="•"/>
      <w:lvlJc w:val="left"/>
      <w:pPr>
        <w:ind w:left="7526" w:hanging="410"/>
      </w:pPr>
      <w:rPr>
        <w:rFonts w:hint="default"/>
      </w:rPr>
    </w:lvl>
    <w:lvl w:ilvl="8" w:tplc="9648DE58">
      <w:numFmt w:val="bullet"/>
      <w:lvlText w:val="•"/>
      <w:lvlJc w:val="left"/>
      <w:pPr>
        <w:ind w:left="8484" w:hanging="410"/>
      </w:pPr>
      <w:rPr>
        <w:rFonts w:hint="default"/>
      </w:rPr>
    </w:lvl>
  </w:abstractNum>
  <w:num w:numId="1" w16cid:durableId="1583182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15"/>
    <w:rsid w:val="00024211"/>
    <w:rsid w:val="000453B2"/>
    <w:rsid w:val="0009676B"/>
    <w:rsid w:val="00097FB9"/>
    <w:rsid w:val="000A036E"/>
    <w:rsid w:val="000B391F"/>
    <w:rsid w:val="00151F35"/>
    <w:rsid w:val="001862AB"/>
    <w:rsid w:val="003070BC"/>
    <w:rsid w:val="00315A3B"/>
    <w:rsid w:val="0032468C"/>
    <w:rsid w:val="003A39E3"/>
    <w:rsid w:val="00441A26"/>
    <w:rsid w:val="00470A85"/>
    <w:rsid w:val="00490BF0"/>
    <w:rsid w:val="00490E54"/>
    <w:rsid w:val="004E4811"/>
    <w:rsid w:val="004F20F0"/>
    <w:rsid w:val="005F599A"/>
    <w:rsid w:val="006122E7"/>
    <w:rsid w:val="006264CF"/>
    <w:rsid w:val="006F46B2"/>
    <w:rsid w:val="0071003C"/>
    <w:rsid w:val="007107E0"/>
    <w:rsid w:val="00716B4F"/>
    <w:rsid w:val="00766D33"/>
    <w:rsid w:val="00790A17"/>
    <w:rsid w:val="00793D7B"/>
    <w:rsid w:val="007D6E68"/>
    <w:rsid w:val="00817605"/>
    <w:rsid w:val="008516DB"/>
    <w:rsid w:val="0087280F"/>
    <w:rsid w:val="008B435B"/>
    <w:rsid w:val="00904921"/>
    <w:rsid w:val="0092729E"/>
    <w:rsid w:val="00983B2F"/>
    <w:rsid w:val="009C72E3"/>
    <w:rsid w:val="00A23C7B"/>
    <w:rsid w:val="00A670D4"/>
    <w:rsid w:val="00BB2149"/>
    <w:rsid w:val="00BE4AD2"/>
    <w:rsid w:val="00C34ED3"/>
    <w:rsid w:val="00C50CEE"/>
    <w:rsid w:val="00CB6035"/>
    <w:rsid w:val="00D076FE"/>
    <w:rsid w:val="00D6300B"/>
    <w:rsid w:val="00D94615"/>
    <w:rsid w:val="00DA69DA"/>
    <w:rsid w:val="00DE6983"/>
    <w:rsid w:val="00E14C17"/>
    <w:rsid w:val="00E60630"/>
    <w:rsid w:val="00E660B4"/>
    <w:rsid w:val="00EB0E38"/>
    <w:rsid w:val="00F32C7C"/>
    <w:rsid w:val="00F4273C"/>
    <w:rsid w:val="00F60940"/>
    <w:rsid w:val="00F70453"/>
    <w:rsid w:val="00FC6CCE"/>
    <w:rsid w:val="02CECB5E"/>
    <w:rsid w:val="0A7DFAD0"/>
    <w:rsid w:val="12000A27"/>
    <w:rsid w:val="206EE435"/>
    <w:rsid w:val="2117ABBE"/>
    <w:rsid w:val="253DF180"/>
    <w:rsid w:val="2B2B8837"/>
    <w:rsid w:val="36681C82"/>
    <w:rsid w:val="48D48BC9"/>
    <w:rsid w:val="4A749B37"/>
    <w:rsid w:val="4DA7976D"/>
    <w:rsid w:val="4F480C5A"/>
    <w:rsid w:val="4FED0C9A"/>
    <w:rsid w:val="53D71E06"/>
    <w:rsid w:val="588CD6D7"/>
    <w:rsid w:val="595FB660"/>
    <w:rsid w:val="5E0583F3"/>
    <w:rsid w:val="6101EE0B"/>
    <w:rsid w:val="642C0168"/>
    <w:rsid w:val="668AD334"/>
    <w:rsid w:val="67CECD72"/>
    <w:rsid w:val="68372AB7"/>
    <w:rsid w:val="6A6470DA"/>
    <w:rsid w:val="6C00413B"/>
    <w:rsid w:val="726A16B4"/>
    <w:rsid w:val="747A5239"/>
    <w:rsid w:val="7823D73A"/>
    <w:rsid w:val="7DE55A06"/>
    <w:rsid w:val="7F36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EFFE"/>
  <w15:docId w15:val="{FBB4058C-0B57-4CE2-83DA-F14D11A6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0BC"/>
    <w:rPr>
      <w:color w:val="0000FF" w:themeColor="hyperlink"/>
      <w:u w:val="single"/>
    </w:rPr>
  </w:style>
  <w:style w:type="character" w:styleId="FollowedHyperlink">
    <w:name w:val="FollowedHyperlink"/>
    <w:basedOn w:val="DefaultParagraphFont"/>
    <w:uiPriority w:val="99"/>
    <w:semiHidden/>
    <w:unhideWhenUsed/>
    <w:rsid w:val="00307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924">
      <w:bodyDiv w:val="1"/>
      <w:marLeft w:val="0"/>
      <w:marRight w:val="0"/>
      <w:marTop w:val="0"/>
      <w:marBottom w:val="0"/>
      <w:divBdr>
        <w:top w:val="none" w:sz="0" w:space="0" w:color="auto"/>
        <w:left w:val="none" w:sz="0" w:space="0" w:color="auto"/>
        <w:bottom w:val="none" w:sz="0" w:space="0" w:color="auto"/>
        <w:right w:val="none" w:sz="0" w:space="0" w:color="auto"/>
      </w:divBdr>
    </w:div>
    <w:div w:id="81159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guide/notice-files/NOT-OD-24-05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salcap_summary.htm" TargetMode="External"/><Relationship Id="rId5" Type="http://schemas.openxmlformats.org/officeDocument/2006/relationships/numbering" Target="numbering.xml"/><Relationship Id="rId10" Type="http://schemas.openxmlformats.org/officeDocument/2006/relationships/hyperlink" Target="https://grants.nih.gov/grants/policy/salcap_summary.ht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996934-da95-4fdd-8e71-d3b67b28427a" xsi:nil="true"/>
    <lcf76f155ced4ddcb4097134ff3c332f xmlns="a63289e8-8b6f-4167-a9f1-40f50a5040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7A8880F0FA445BA2BE30F7E9CC2AC" ma:contentTypeVersion="16" ma:contentTypeDescription="Create a new document." ma:contentTypeScope="" ma:versionID="a17145fc38d4aedb2ec2a6d133707c0f">
  <xsd:schema xmlns:xsd="http://www.w3.org/2001/XMLSchema" xmlns:xs="http://www.w3.org/2001/XMLSchema" xmlns:p="http://schemas.microsoft.com/office/2006/metadata/properties" xmlns:ns2="a63289e8-8b6f-4167-a9f1-40f50a5040f4" xmlns:ns3="14996934-da95-4fdd-8e71-d3b67b28427a" targetNamespace="http://schemas.microsoft.com/office/2006/metadata/properties" ma:root="true" ma:fieldsID="e133bb0efb441ad3fafb29aafccf9b9a" ns2:_="" ns3:_="">
    <xsd:import namespace="a63289e8-8b6f-4167-a9f1-40f50a5040f4"/>
    <xsd:import namespace="14996934-da95-4fdd-8e71-d3b67b284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289e8-8b6f-4167-a9f1-40f50a504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996934-da95-4fdd-8e71-d3b67b2842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53fa8d-8a3f-4871-8be4-16392ca3eaf1}" ma:internalName="TaxCatchAll" ma:showField="CatchAllData" ma:web="14996934-da95-4fdd-8e71-d3b67b2842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41408-F758-492A-A78F-40219DEBD708}">
  <ds:schemaRefs>
    <ds:schemaRef ds:uri="http://schemas.microsoft.com/office/2006/metadata/properties"/>
    <ds:schemaRef ds:uri="http://schemas.microsoft.com/office/infopath/2007/PartnerControls"/>
    <ds:schemaRef ds:uri="14996934-da95-4fdd-8e71-d3b67b28427a"/>
    <ds:schemaRef ds:uri="a63289e8-8b6f-4167-a9f1-40f50a5040f4"/>
  </ds:schemaRefs>
</ds:datastoreItem>
</file>

<file path=customXml/itemProps2.xml><?xml version="1.0" encoding="utf-8"?>
<ds:datastoreItem xmlns:ds="http://schemas.openxmlformats.org/officeDocument/2006/customXml" ds:itemID="{C5A0C87F-F4B5-43EF-AC3F-F4019B12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289e8-8b6f-4167-a9f1-40f50a5040f4"/>
    <ds:schemaRef ds:uri="14996934-da95-4fdd-8e71-d3b67b28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DD19B-CC7D-4D73-A5AD-EED2AAE702D0}">
  <ds:schemaRefs>
    <ds:schemaRef ds:uri="http://schemas.openxmlformats.org/officeDocument/2006/bibliography"/>
  </ds:schemaRefs>
</ds:datastoreItem>
</file>

<file path=customXml/itemProps4.xml><?xml version="1.0" encoding="utf-8"?>
<ds:datastoreItem xmlns:ds="http://schemas.openxmlformats.org/officeDocument/2006/customXml" ds:itemID="{14A9E849-307B-4DDD-AB1A-EEE877DB1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1078</Words>
  <Characters>6148</Characters>
  <Application>Microsoft Office Word</Application>
  <DocSecurity>0</DocSecurity>
  <Lines>51</Lines>
  <Paragraphs>14</Paragraphs>
  <ScaleCrop>false</ScaleCrop>
  <Company>University of North Texas</Company>
  <LinksUpToDate>false</LinksUpToDate>
  <CharactersWithSpaces>7212</CharactersWithSpaces>
  <SharedDoc>false</SharedDoc>
  <HLinks>
    <vt:vector size="18" baseType="variant">
      <vt:variant>
        <vt:i4>8257598</vt:i4>
      </vt:variant>
      <vt:variant>
        <vt:i4>6</vt:i4>
      </vt:variant>
      <vt:variant>
        <vt:i4>0</vt:i4>
      </vt:variant>
      <vt:variant>
        <vt:i4>5</vt:i4>
      </vt:variant>
      <vt:variant>
        <vt:lpwstr>https://grants.nih.gov/grants/guide/notice-files/NOT-OD-24-057.html</vt:lpwstr>
      </vt:variant>
      <vt:variant>
        <vt:lpwstr/>
      </vt:variant>
      <vt:variant>
        <vt:i4>5898296</vt:i4>
      </vt:variant>
      <vt:variant>
        <vt:i4>3</vt:i4>
      </vt:variant>
      <vt:variant>
        <vt:i4>0</vt:i4>
      </vt:variant>
      <vt:variant>
        <vt:i4>5</vt:i4>
      </vt:variant>
      <vt:variant>
        <vt:lpwstr>https://grants.nih.gov/grants/policy/salcap_summary.htm</vt:lpwstr>
      </vt:variant>
      <vt:variant>
        <vt:lpwstr/>
      </vt:variant>
      <vt:variant>
        <vt:i4>5898296</vt:i4>
      </vt:variant>
      <vt:variant>
        <vt:i4>0</vt:i4>
      </vt:variant>
      <vt:variant>
        <vt:i4>0</vt:i4>
      </vt:variant>
      <vt:variant>
        <vt:i4>5</vt:i4>
      </vt:variant>
      <vt:variant>
        <vt:lpwstr>https://grants.nih.gov/grants/policy/salcap_summary.htm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Charging Summer Salary on Sponsored Projects</dc:title>
  <dc:subject/>
  <dc:creator>bar0214</dc:creator>
  <cp:keywords/>
  <cp:lastModifiedBy>Tarantino, Charles</cp:lastModifiedBy>
  <cp:revision>9</cp:revision>
  <dcterms:created xsi:type="dcterms:W3CDTF">2024-03-14T21:31:00Z</dcterms:created>
  <dcterms:modified xsi:type="dcterms:W3CDTF">2024-03-15T20:05:00Z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2013</vt:lpwstr>
  </property>
  <property fmtid="{D5CDD505-2E9C-101B-9397-08002B2CF9AE}" pid="4" name="LastSaved">
    <vt:filetime>2019-04-02T00:00:00Z</vt:filetime>
  </property>
  <property fmtid="{D5CDD505-2E9C-101B-9397-08002B2CF9AE}" pid="5" name="ContentTypeId">
    <vt:lpwstr>0x0101006557A8880F0FA445BA2BE30F7E9CC2AC</vt:lpwstr>
  </property>
  <property fmtid="{D5CDD505-2E9C-101B-9397-08002B2CF9AE}" pid="6" name="MediaServiceImageTags">
    <vt:lpwstr/>
  </property>
</Properties>
</file>